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6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UNITED STATES</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SECURITIES AND EXCHANGE COMMISSION</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color w:val="000000"/>
          <w:sz w:val="28"/>
        </w:rPr>
      </w:pPr>
      <w:r>
        <w:rPr>
          <w:rFonts w:ascii="Arial;sans-serif" w:hAnsi="Arial;sans-serif"/>
          <w:b/>
          <w:color w:val="000000"/>
          <w:sz w:val="28"/>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629" w:type="dxa"/>
        <w:jc w:val="center"/>
        <w:tblInd w:w="0" w:type="dxa"/>
        <w:tblLayout w:type="fixed"/>
        <w:tblCellMar>
          <w:top w:w="28" w:type="dxa"/>
          <w:left w:w="28" w:type="dxa"/>
          <w:bottom w:w="28" w:type="dxa"/>
          <w:right w:w="28" w:type="dxa"/>
        </w:tblCellMar>
      </w:tblPr>
      <w:tblGrid>
        <w:gridCol w:w="358"/>
        <w:gridCol w:w="315"/>
        <w:gridCol w:w="317"/>
        <w:gridCol w:w="2524"/>
        <w:gridCol w:w="2524"/>
        <w:gridCol w:w="359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3591"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(Mark One)</w:t>
            </w:r>
          </w:p>
        </w:tc>
        <w:tc>
          <w:tcPr>
            <w:tcW w:w="8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ANNUAL REPORT PURSUANT TO SECTION 13 OR 15(d) OF THE SECURITIES EXCHANGE ACT OF 1934</w:t>
            </w:r>
          </w:p>
        </w:tc>
      </w:tr>
      <w:tr>
        <w:trPr/>
        <w:tc>
          <w:tcPr>
            <w:tcW w:w="962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the fiscal year ended December 31, 2023</w:t>
            </w:r>
          </w:p>
        </w:tc>
      </w:tr>
      <w:tr>
        <w:trPr/>
        <w:tc>
          <w:tcPr>
            <w:tcW w:w="962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OR</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TRANSITION REPORT PURSUANT TO SECTION 13 OR 15(d) OF THE SECURITIES EXCHANGE ACT OF 1934</w:t>
            </w:r>
          </w:p>
        </w:tc>
      </w:tr>
      <w:tr>
        <w:trPr/>
        <w:tc>
          <w:tcPr>
            <w:tcW w:w="962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For the transition period from ___ to ___</w:t>
            </w:r>
          </w:p>
        </w:tc>
      </w:tr>
      <w:tr>
        <w:trPr/>
        <w:tc>
          <w:tcPr>
            <w:tcW w:w="962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29"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Commission File Number: </w:t>
            </w:r>
            <w:r>
              <w:rPr>
                <w:rFonts w:ascii="Arial;sans-serif" w:hAnsi="Arial;sans-serif"/>
                <w:b w:val="false"/>
                <w:color w:val="000000"/>
                <w:sz w:val="16"/>
              </w:rPr>
              <w:t>001-37552</w:t>
            </w:r>
          </w:p>
        </w:tc>
      </w:tr>
    </w:tbl>
    <w:p>
      <w:pPr>
        <w:pStyle w:val="TextBody"/>
        <w:bidi w:val="0"/>
        <w:spacing w:before="0" w:after="60"/>
        <w:jc w:val="center"/>
        <w:rPr/>
      </w:pPr>
      <w:r>
        <w:rPr/>
        <w:drawing>
          <wp:inline distT="0" distB="0" distL="0" distR="0">
            <wp:extent cx="36480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48075" cy="895350"/>
                    </a:xfrm>
                    <a:prstGeom prst="rect">
                      <a:avLst/>
                    </a:prstGeom>
                  </pic:spPr>
                </pic:pic>
              </a:graphicData>
            </a:graphic>
          </wp:inline>
        </w:drawing>
      </w:r>
    </w:p>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000000"/>
          <w:sz w:val="40"/>
        </w:rPr>
      </w:pPr>
      <w:r>
        <w:rPr>
          <w:rFonts w:ascii="Arial;sans-serif" w:hAnsi="Arial;sans-serif"/>
          <w:b/>
          <w:color w:val="000000"/>
          <w:sz w:val="40"/>
        </w:rPr>
        <w:t>WILLSCOT MOBILE MINI HOLDINGS CORP.</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5865" w:type="dxa"/>
        <w:jc w:val="center"/>
        <w:tblInd w:w="0" w:type="dxa"/>
        <w:tblLayout w:type="fixed"/>
        <w:tblCellMar>
          <w:top w:w="28" w:type="dxa"/>
          <w:left w:w="28" w:type="dxa"/>
          <w:bottom w:w="28" w:type="dxa"/>
          <w:right w:w="28" w:type="dxa"/>
        </w:tblCellMar>
      </w:tblPr>
      <w:tblGrid>
        <w:gridCol w:w="1159"/>
        <w:gridCol w:w="1021"/>
        <w:gridCol w:w="1030"/>
        <w:gridCol w:w="773"/>
        <w:gridCol w:w="773"/>
        <w:gridCol w:w="1109"/>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82-3430194</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bl>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4646 E Van Buren St., Suite 400</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Phoenix, Arizona 85008</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(Address of principal executive offices)</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(480) 894-6311</w:t>
      </w:r>
    </w:p>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before="0" w:after="60"/>
        <w:jc w:val="center"/>
        <w:rPr/>
      </w:pPr>
      <w:r>
        <w:rPr/>
      </w:r>
    </w:p>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728" w:type="dxa"/>
        <w:jc w:val="center"/>
        <w:tblInd w:w="0" w:type="dxa"/>
        <w:tblLayout w:type="fixed"/>
        <w:tblCellMar>
          <w:top w:w="28" w:type="dxa"/>
          <w:left w:w="28" w:type="dxa"/>
          <w:bottom w:w="28" w:type="dxa"/>
          <w:right w:w="28" w:type="dxa"/>
        </w:tblCellMar>
      </w:tblPr>
      <w:tblGrid>
        <w:gridCol w:w="1226"/>
        <w:gridCol w:w="1079"/>
        <w:gridCol w:w="1085"/>
        <w:gridCol w:w="524"/>
        <w:gridCol w:w="524"/>
        <w:gridCol w:w="526"/>
        <w:gridCol w:w="1100"/>
        <w:gridCol w:w="1100"/>
        <w:gridCol w:w="1564"/>
      </w:tblGrid>
      <w:tr>
        <w:trPr/>
        <w:tc>
          <w:tcPr>
            <w:tcW w:w="122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Trading Symbol(s)</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Name of Each Exchange on Which Registered</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$0.0001 per share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WSC</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The Nasdaq Capital Market</w:t>
            </w:r>
          </w:p>
        </w:tc>
      </w:tr>
    </w:tbl>
    <w:p>
      <w:pPr>
        <w:pStyle w:val="TextBody"/>
        <w:bidi w:val="0"/>
        <w:spacing w:before="120" w:after="120"/>
        <w:jc w:val="both"/>
        <w:rPr/>
      </w:pPr>
      <w:r>
        <w:rPr/>
      </w:r>
    </w:p>
    <w:p>
      <w:pPr>
        <w:pStyle w:val="TextBody"/>
        <w:bidi w:val="0"/>
        <w:spacing w:lineRule="auto" w:line="288" w:before="180" w:after="180"/>
        <w:jc w:val="both"/>
        <w:rPr>
          <w:rFonts w:ascii="Arial;sans-serif" w:hAnsi="Arial;sans-serif"/>
          <w:b w:val="false"/>
          <w:color w:val="000000"/>
          <w:sz w:val="16"/>
        </w:rPr>
      </w:pPr>
      <w:r>
        <w:rPr>
          <w:rFonts w:ascii="Arial;sans-serif" w:hAnsi="Arial;sans-serif"/>
          <w:b w:val="false"/>
          <w:color w:val="000000"/>
          <w:sz w:val="16"/>
        </w:rPr>
        <w:t>Securities registered pursuant to Section 12(g) of the Act: None.</w:t>
      </w:r>
    </w:p>
    <w:p>
      <w:pPr>
        <w:pStyle w:val="TextBody"/>
        <w:bidi w:val="0"/>
        <w:spacing w:lineRule="auto" w:line="288" w:before="60" w:after="180"/>
        <w:jc w:val="both"/>
        <w:rPr/>
      </w:pPr>
      <w:r>
        <w:rPr>
          <w:rFonts w:ascii="Arial;sans-serif" w:hAnsi="Arial;sans-serif"/>
          <w:b w:val="false"/>
          <w:color w:val="000000"/>
          <w:sz w:val="16"/>
        </w:rPr>
        <w:t xml:space="preserve">Indicate by check mark if the registrant is a well-known seasoned issuer, as defined in Rule 405 of the Securities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60" w:after="180"/>
        <w:jc w:val="both"/>
        <w:rPr/>
      </w:pPr>
      <w:r>
        <w:rPr>
          <w:rFonts w:ascii="Arial;sans-serif" w:hAnsi="Arial;sans-serif"/>
          <w:b w:val="false"/>
          <w:color w:val="000000"/>
          <w:sz w:val="16"/>
        </w:rPr>
        <w:t xml:space="preserve">Indicate by check mark if the registrant is not required to file reports pursuant to Section 13 or Section 15(d) of the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60" w:after="180"/>
        <w:jc w:val="both"/>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sans-serif" w:hAnsi="Arial;sans-serif"/>
          <w:b w:val="false"/>
          <w:color w:val="000000"/>
          <w:sz w:val="16"/>
        </w:rPr>
        <w:t xml:space="preserve">No </w:t>
      </w:r>
      <w:r>
        <w:rPr>
          <w:color w:val="000000"/>
        </w:rPr>
        <w:t xml:space="preserve">☐ </w:t>
      </w:r>
    </w:p>
    <w:p>
      <w:pPr>
        <w:pStyle w:val="TextBody"/>
        <w:bidi w:val="0"/>
        <w:spacing w:lineRule="auto" w:line="288" w:before="60" w:after="180"/>
        <w:jc w:val="both"/>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2" name="Frame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60" w:after="60"/>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350" w:type="dxa"/>
        <w:jc w:val="left"/>
        <w:tblInd w:w="0" w:type="dxa"/>
        <w:tblLayout w:type="fixed"/>
        <w:tblCellMar>
          <w:top w:w="28" w:type="dxa"/>
          <w:left w:w="28" w:type="dxa"/>
          <w:bottom w:w="28" w:type="dxa"/>
          <w:right w:w="28" w:type="dxa"/>
        </w:tblCellMar>
      </w:tblPr>
      <w:tblGrid>
        <w:gridCol w:w="721"/>
        <w:gridCol w:w="636"/>
        <w:gridCol w:w="638"/>
        <w:gridCol w:w="690"/>
        <w:gridCol w:w="690"/>
        <w:gridCol w:w="975"/>
      </w:tblGrid>
      <w:tr>
        <w:trPr/>
        <w:tc>
          <w:tcPr>
            <w:tcW w:w="72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Large accelerated filer </w:t>
            </w: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Accelerated filer </w:t>
            </w:r>
            <w:r>
              <w:rPr>
                <w:color w:val="000000"/>
              </w:rPr>
              <w:t>☐</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Non-accelerated filer </w:t>
            </w: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Smaller reporting company </w:t>
            </w:r>
            <w:r>
              <w:rPr>
                <w:color w:val="000000"/>
              </w:rPr>
              <w:t>☐</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Emerging growth company </w:t>
            </w:r>
            <w:r>
              <w:rPr>
                <w:color w:val="000000"/>
              </w:rPr>
              <w:t>☐</w:t>
            </w:r>
          </w:p>
        </w:tc>
      </w:tr>
    </w:tbl>
    <w:p>
      <w:pPr>
        <w:pStyle w:val="TextBody"/>
        <w:bidi w:val="0"/>
        <w:spacing w:lineRule="auto" w:line="288" w:before="180" w:after="60"/>
        <w:jc w:val="both"/>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60"/>
        <w:jc w:val="both"/>
        <w:rPr>
          <w:rFonts w:ascii="Arial;sans-serif" w:hAnsi="Arial;sans-serif"/>
          <w:b w:val="false"/>
          <w:color w:val="000000"/>
          <w:sz w:val="16"/>
        </w:rPr>
      </w:pPr>
      <w:r>
        <w:rPr>
          <w:rFonts w:ascii="Arial;sans-serif" w:hAnsi="Arial;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80" w:after="60"/>
        <w:jc w:val="both"/>
        <w:rPr/>
      </w:pPr>
      <w:r>
        <w:rPr>
          <w:rFonts w:ascii="Arial;sans-serif" w:hAnsi="Arial;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lineRule="auto" w:line="288" w:before="180" w:after="60"/>
        <w:jc w:val="both"/>
        <w:rPr/>
      </w:pPr>
      <w:r>
        <w:rPr>
          <w:rFonts w:ascii="Arial;sans-serif" w:hAnsi="Arial;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80" w:after="60"/>
        <w:jc w:val="both"/>
        <w:rPr/>
      </w:pPr>
      <w:r>
        <w:rPr>
          <w:rFonts w:ascii="Arial;sans-serif" w:hAnsi="Arial;sans-serif"/>
          <w:b w:val="false"/>
          <w:color w:val="000000"/>
          <w:sz w:val="16"/>
        </w:rPr>
        <w:t xml:space="preserve">Indicate by check mark whether the registrant is a shell company (as defined in Rule 12b-2 of the Act). Yes </w:t>
      </w:r>
      <w:r>
        <w:rPr>
          <w:color w:val="000000"/>
        </w:rPr>
        <w:t xml:space="preserve">☐ </w:t>
      </w:r>
      <w:r>
        <w:rPr>
          <w:rFonts w:ascii="Arial;sans-serif" w:hAnsi="Arial;sans-serif"/>
          <w:b w:val="false"/>
          <w:color w:val="000000"/>
          <w:sz w:val="16"/>
        </w:rPr>
        <w:t xml:space="preserve">No </w:t>
      </w:r>
      <w:r>
        <w:rPr>
          <w:color w:val="000000"/>
        </w:rPr>
        <w:t>☒</w:t>
      </w:r>
    </w:p>
    <w:p>
      <w:pPr>
        <w:pStyle w:val="TextBody"/>
        <w:bidi w:val="0"/>
        <w:spacing w:lineRule="auto" w:line="288" w:before="180" w:after="120"/>
        <w:jc w:val="both"/>
        <w:rPr/>
      </w:pPr>
      <w:r>
        <w:rPr>
          <w:rFonts w:ascii="Arial;sans-serif" w:hAnsi="Arial;sans-serif"/>
          <w:b w:val="false"/>
          <w:color w:val="000000"/>
          <w:sz w:val="16"/>
        </w:rPr>
        <w:t>The aggregate market value of the voting and non-voting common equity held by non-affiliates of the registrant, co</w:t>
      </w:r>
      <w:r>
        <w:rPr>
          <w:rFonts w:ascii="Arial;sans-serif" w:hAnsi="Arial;sans-serif"/>
          <w:b w:val="false"/>
          <w:color w:val="000000"/>
          <w:sz w:val="16"/>
          <w:shd w:fill="FFFFFF" w:val="clear"/>
        </w:rPr>
        <w:t>mputed by reference to the price at which the common equity was last sold as of June 30, 2023 (t</w:t>
      </w:r>
      <w:r>
        <w:rPr>
          <w:rFonts w:ascii="Arial;sans-serif" w:hAnsi="Arial;sans-serif"/>
          <w:b w:val="false"/>
          <w:color w:val="000000"/>
          <w:sz w:val="16"/>
        </w:rPr>
        <w:t>he last business day of the registrant’s most recently completed second fiscal quarter), was app</w:t>
      </w:r>
      <w:r>
        <w:rPr>
          <w:rFonts w:ascii="Arial;sans-serif" w:hAnsi="Arial;sans-serif"/>
          <w:b w:val="false"/>
          <w:color w:val="000000"/>
          <w:sz w:val="16"/>
          <w:shd w:fill="FFFFFF" w:val="clear"/>
        </w:rPr>
        <w:t>roximate</w:t>
      </w:r>
      <w:r>
        <w:rPr>
          <w:rFonts w:ascii="Arial;sans-serif" w:hAnsi="Arial;sans-serif"/>
          <w:b w:val="false"/>
          <w:color w:val="000000"/>
          <w:sz w:val="16"/>
        </w:rPr>
        <w:t>ly $9.3 billion.</w:t>
      </w:r>
    </w:p>
    <w:p>
      <w:pPr>
        <w:pStyle w:val="TextBody"/>
        <w:bidi w:val="0"/>
        <w:spacing w:lineRule="auto" w:line="288" w:before="60" w:after="60"/>
        <w:jc w:val="left"/>
        <w:rPr/>
      </w:pPr>
      <w:r>
        <w:rPr>
          <w:rFonts w:ascii="Arial;sans-serif" w:hAnsi="Arial;sans-serif"/>
          <w:b w:val="false"/>
          <w:color w:val="000000"/>
          <w:sz w:val="16"/>
        </w:rPr>
        <w:t>Shares of Common Stock, par value $0.0001 per sha</w:t>
      </w:r>
      <w:r>
        <w:rPr>
          <w:rFonts w:ascii="Arial;sans-serif" w:hAnsi="Arial;sans-serif"/>
          <w:b w:val="false"/>
          <w:color w:val="000000"/>
          <w:sz w:val="16"/>
          <w:shd w:fill="FFFFFF" w:val="clear"/>
        </w:rPr>
        <w:t>re, outstan</w:t>
      </w:r>
      <w:r>
        <w:rPr>
          <w:rFonts w:ascii="Arial;sans-serif" w:hAnsi="Arial;sans-serif"/>
          <w:b w:val="false"/>
          <w:color w:val="000000"/>
          <w:sz w:val="16"/>
        </w:rPr>
        <w:t>ding: 189,970,639 shares at February 14, 2024.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center"/>
        <w:rPr>
          <w:rFonts w:ascii="Arial;sans-serif" w:hAnsi="Arial;sans-serif"/>
          <w:b/>
          <w:color w:val="000000"/>
          <w:sz w:val="20"/>
          <w:u w:val="single"/>
        </w:rPr>
      </w:pPr>
      <w:r>
        <w:rPr>
          <w:rFonts w:ascii="Arial;sans-serif" w:hAnsi="Arial;sans-serif"/>
          <w:b/>
          <w:color w:val="000000"/>
          <w:sz w:val="20"/>
          <w:u w:val="single"/>
        </w:rPr>
        <w:t>Documents Incorporated by Reference</w:t>
      </w:r>
    </w:p>
    <w:p>
      <w:pPr>
        <w:pStyle w:val="TextBody"/>
        <w:bidi w:val="0"/>
        <w:spacing w:lineRule="auto" w:line="288" w:before="0" w:after="60"/>
        <w:jc w:val="both"/>
        <w:rPr>
          <w:rFonts w:ascii="Arial;sans-serif" w:hAnsi="Arial;sans-serif"/>
          <w:b w:val="false"/>
          <w:color w:val="000000"/>
          <w:sz w:val="16"/>
        </w:rPr>
      </w:pPr>
      <w:r>
        <w:rPr>
          <w:rFonts w:ascii="Arial;sans-serif" w:hAnsi="Arial;sans-serif"/>
          <w:b w:val="false"/>
          <w:color w:val="000000"/>
          <w:sz w:val="16"/>
        </w:rPr>
        <w:t>The information required by Part III of this Report, to the extent not set forth herein, is incorporated herein by reference from the registrant's definitive proxy statement for the 2024 annual meeting of stockholders, which definitive proxy statement will be filed with the Securities and Exchange Commission within 120 days after the end of the fiscal year to which this Report relates.</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3"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center"/>
        <w:rPr>
          <w:rFonts w:ascii="Arial;sans-serif" w:hAnsi="Arial;sans-serif"/>
          <w:b/>
          <w:color w:val="1D2758"/>
          <w:sz w:val="26"/>
        </w:rPr>
      </w:pPr>
      <w:r>
        <w:rPr>
          <w:rFonts w:ascii="Arial;sans-serif" w:hAnsi="Arial;sans-serif"/>
          <w:b/>
          <w:color w:val="1D2758"/>
          <w:sz w:val="26"/>
        </w:rPr>
        <w:t>WillScot Mobile Mini Holdings Corp.</w:t>
      </w:r>
    </w:p>
    <w:p>
      <w:pPr>
        <w:pStyle w:val="TextBody"/>
        <w:bidi w:val="0"/>
        <w:spacing w:lineRule="auto" w:line="288" w:before="0" w:after="60"/>
        <w:jc w:val="center"/>
        <w:rPr>
          <w:rFonts w:ascii="Arial;sans-serif" w:hAnsi="Arial;sans-serif"/>
          <w:b/>
          <w:color w:val="1D2758"/>
          <w:sz w:val="26"/>
        </w:rPr>
      </w:pPr>
      <w:r>
        <w:rPr>
          <w:rFonts w:ascii="Arial;sans-serif" w:hAnsi="Arial;sans-serif"/>
          <w:b/>
          <w:color w:val="1D2758"/>
          <w:sz w:val="26"/>
        </w:rPr>
        <w:t>Annual Report on Form 10-K</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Table of Contents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43"/>
        <w:gridCol w:w="243"/>
        <w:gridCol w:w="245"/>
        <w:gridCol w:w="1418"/>
        <w:gridCol w:w="1418"/>
        <w:gridCol w:w="1418"/>
        <w:gridCol w:w="1418"/>
        <w:gridCol w:w="1418"/>
        <w:gridCol w:w="20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10">
              <w:r>
                <w:rPr>
                  <w:rStyle w:val="InternetLink"/>
                  <w:rFonts w:ascii="Arial;sans-serif" w:hAnsi="Arial;sans-serif"/>
                  <w:b/>
                  <w:strike w:val="false"/>
                  <w:dstrike w:val="false"/>
                  <w:color w:val="000000"/>
                  <w:sz w:val="18"/>
                  <w:u w:val="none"/>
                  <w:effect w:val="none"/>
                </w:rPr>
                <w:t>PART I</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13">
              <w:r>
                <w:rPr>
                  <w:rStyle w:val="InternetLink"/>
                  <w:rFonts w:ascii="Arial;sans-serif" w:hAnsi="Arial;sans-serif"/>
                  <w:b w:val="false"/>
                  <w:strike w:val="false"/>
                  <w:dstrike w:val="false"/>
                  <w:color w:val="000000"/>
                  <w:sz w:val="18"/>
                  <w:u w:val="none"/>
                  <w:effect w:val="none"/>
                </w:rPr>
                <w:t>Item 1</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13">
              <w:r>
                <w:rPr>
                  <w:rStyle w:val="InternetLink"/>
                  <w:rFonts w:ascii="Arial;sans-serif" w:hAnsi="Arial;sans-serif"/>
                  <w:b w:val="false"/>
                  <w:strike w:val="false"/>
                  <w:dstrike w:val="false"/>
                  <w:color w:val="000000"/>
                  <w:sz w:val="18"/>
                  <w:u w:val="none"/>
                  <w:effect w:val="none"/>
                </w:rPr>
                <w:t>Business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55">
              <w:r>
                <w:rPr>
                  <w:rStyle w:val="InternetLink"/>
                  <w:rFonts w:ascii="Arial;sans-serif" w:hAnsi="Arial;sans-serif"/>
                  <w:b w:val="false"/>
                  <w:strike w:val="false"/>
                  <w:dstrike w:val="false"/>
                  <w:color w:val="000000"/>
                  <w:sz w:val="18"/>
                  <w:u w:val="none"/>
                  <w:effect w:val="none"/>
                </w:rPr>
                <w:t>Item 1A</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55">
              <w:r>
                <w:rPr>
                  <w:rStyle w:val="InternetLink"/>
                  <w:rFonts w:ascii="Arial;sans-serif" w:hAnsi="Arial;sans-serif"/>
                  <w:b w:val="false"/>
                  <w:strike w:val="false"/>
                  <w:dstrike w:val="false"/>
                  <w:color w:val="000000"/>
                  <w:sz w:val="18"/>
                  <w:u w:val="none"/>
                  <w:effect w:val="none"/>
                </w:rPr>
                <w:t>Risk Factors</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58">
              <w:r>
                <w:rPr>
                  <w:rStyle w:val="InternetLink"/>
                  <w:rFonts w:ascii="Arial;sans-serif" w:hAnsi="Arial;sans-serif"/>
                  <w:b w:val="false"/>
                  <w:strike w:val="false"/>
                  <w:dstrike w:val="false"/>
                  <w:color w:val="000000"/>
                  <w:sz w:val="18"/>
                  <w:u w:val="none"/>
                  <w:effect w:val="none"/>
                </w:rPr>
                <w:t>Item 1B</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58">
              <w:r>
                <w:rPr>
                  <w:rStyle w:val="InternetLink"/>
                  <w:rFonts w:ascii="Arial;sans-serif" w:hAnsi="Arial;sans-serif"/>
                  <w:b w:val="false"/>
                  <w:strike w:val="false"/>
                  <w:dstrike w:val="false"/>
                  <w:color w:val="000000"/>
                  <w:sz w:val="18"/>
                  <w:u w:val="none"/>
                  <w:effect w:val="none"/>
                </w:rPr>
                <w:t>Unresolved Staff Comments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6c5c72f0a7bf4edba66dc96965e21355_61">
              <w:r>
                <w:rPr>
                  <w:rStyle w:val="InternetLink"/>
                  <w:rFonts w:ascii="Arial;sans-serif" w:hAnsi="Arial;sans-serif"/>
                  <w:b w:val="false"/>
                  <w:strike w:val="false"/>
                  <w:dstrike w:val="false"/>
                  <w:color w:val="000000"/>
                  <w:sz w:val="18"/>
                  <w:u w:val="none"/>
                  <w:effect w:val="none"/>
                </w:rPr>
                <w:t>Item 1C</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w:anchor="i6c5c72f0a7bf4edba66dc96965e21355_61">
              <w:r>
                <w:rPr>
                  <w:rStyle w:val="InternetLink"/>
                  <w:rFonts w:ascii="Arial;sans-serif" w:hAnsi="Arial;sans-serif"/>
                  <w:b w:val="false"/>
                  <w:strike w:val="false"/>
                  <w:dstrike w:val="false"/>
                  <w:color w:val="000000"/>
                  <w:sz w:val="18"/>
                  <w:u w:val="none"/>
                  <w:effect w:val="none"/>
                </w:rPr>
                <w:t>Cybersecurity</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64">
              <w:r>
                <w:rPr>
                  <w:rStyle w:val="InternetLink"/>
                  <w:rFonts w:ascii="Arial;sans-serif" w:hAnsi="Arial;sans-serif"/>
                  <w:b w:val="false"/>
                  <w:strike w:val="false"/>
                  <w:dstrike w:val="false"/>
                  <w:color w:val="000000"/>
                  <w:sz w:val="18"/>
                  <w:u w:val="none"/>
                  <w:effect w:val="none"/>
                </w:rPr>
                <w:t>Item 2</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64">
              <w:r>
                <w:rPr>
                  <w:rStyle w:val="InternetLink"/>
                  <w:rFonts w:ascii="Arial;sans-serif" w:hAnsi="Arial;sans-serif"/>
                  <w:b w:val="false"/>
                  <w:strike w:val="false"/>
                  <w:dstrike w:val="false"/>
                  <w:color w:val="000000"/>
                  <w:sz w:val="18"/>
                  <w:u w:val="none"/>
                  <w:effect w:val="none"/>
                </w:rPr>
                <w:t>Properties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67">
              <w:r>
                <w:rPr>
                  <w:rStyle w:val="InternetLink"/>
                  <w:rFonts w:ascii="Arial;sans-serif" w:hAnsi="Arial;sans-serif"/>
                  <w:b w:val="false"/>
                  <w:strike w:val="false"/>
                  <w:dstrike w:val="false"/>
                  <w:color w:val="000000"/>
                  <w:sz w:val="18"/>
                  <w:u w:val="none"/>
                  <w:effect w:val="none"/>
                </w:rPr>
                <w:t>Item 3</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67">
              <w:r>
                <w:rPr>
                  <w:rStyle w:val="InternetLink"/>
                  <w:rFonts w:ascii="Arial;sans-serif" w:hAnsi="Arial;sans-serif"/>
                  <w:b w:val="false"/>
                  <w:strike w:val="false"/>
                  <w:dstrike w:val="false"/>
                  <w:color w:val="000000"/>
                  <w:sz w:val="18"/>
                  <w:u w:val="none"/>
                  <w:effect w:val="none"/>
                </w:rPr>
                <w:t>Legal Proceedings</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70">
              <w:r>
                <w:rPr>
                  <w:rStyle w:val="InternetLink"/>
                  <w:rFonts w:ascii="Arial;sans-serif" w:hAnsi="Arial;sans-serif"/>
                  <w:b w:val="false"/>
                  <w:strike w:val="false"/>
                  <w:dstrike w:val="false"/>
                  <w:color w:val="000000"/>
                  <w:sz w:val="18"/>
                  <w:u w:val="none"/>
                  <w:effect w:val="none"/>
                </w:rPr>
                <w:t>Item 4</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70">
              <w:r>
                <w:rPr>
                  <w:rStyle w:val="InternetLink"/>
                  <w:rFonts w:ascii="Arial;sans-serif" w:hAnsi="Arial;sans-serif"/>
                  <w:b w:val="false"/>
                  <w:strike w:val="false"/>
                  <w:dstrike w:val="false"/>
                  <w:color w:val="000000"/>
                  <w:sz w:val="18"/>
                  <w:u w:val="none"/>
                  <w:effect w:val="none"/>
                </w:rPr>
                <w:t>Mine Safety Disclosures</w:t>
              </w:r>
            </w:hyperlink>
          </w:p>
        </w:tc>
      </w:tr>
      <w:tr>
        <w:trPr/>
        <w:tc>
          <w:tcPr>
            <w:tcW w:w="10205" w:type="dxa"/>
            <w:gridSpan w:val="12"/>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73">
              <w:r>
                <w:rPr>
                  <w:rStyle w:val="InternetLink"/>
                  <w:rFonts w:ascii="Arial;sans-serif" w:hAnsi="Arial;sans-serif"/>
                  <w:b/>
                  <w:strike w:val="false"/>
                  <w:dstrike w:val="false"/>
                  <w:color w:val="000000"/>
                  <w:sz w:val="18"/>
                  <w:u w:val="none"/>
                  <w:effect w:val="none"/>
                </w:rPr>
                <w:t>PART II</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76">
              <w:r>
                <w:rPr>
                  <w:rStyle w:val="InternetLink"/>
                  <w:rFonts w:ascii="Arial;sans-serif" w:hAnsi="Arial;sans-serif"/>
                  <w:b w:val="false"/>
                  <w:strike w:val="false"/>
                  <w:dstrike w:val="false"/>
                  <w:color w:val="000000"/>
                  <w:sz w:val="18"/>
                  <w:u w:val="none"/>
                  <w:effect w:val="none"/>
                </w:rPr>
                <w:t>Item 5</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76">
              <w:r>
                <w:rPr>
                  <w:rStyle w:val="InternetLink"/>
                  <w:rFonts w:ascii="Arial;sans-serif" w:hAnsi="Arial;sans-serif"/>
                  <w:b w:val="false"/>
                  <w:strike w:val="false"/>
                  <w:dstrike w:val="false"/>
                  <w:color w:val="000000"/>
                  <w:sz w:val="18"/>
                  <w:u w:val="none"/>
                  <w:effect w:val="none"/>
                </w:rPr>
                <w:t>Market for Registrant’s Common Equity, Related Stockholder Matters and Issuer Purchases of Equity Securities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79">
              <w:r>
                <w:rPr>
                  <w:rStyle w:val="InternetLink"/>
                  <w:rFonts w:ascii="Arial;sans-serif" w:hAnsi="Arial;sans-serif"/>
                  <w:b w:val="false"/>
                  <w:strike w:val="false"/>
                  <w:dstrike w:val="false"/>
                  <w:color w:val="000000"/>
                  <w:sz w:val="18"/>
                  <w:u w:val="none"/>
                  <w:effect w:val="none"/>
                </w:rPr>
                <w:t>Item 6</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79">
              <w:r>
                <w:rPr>
                  <w:rStyle w:val="InternetLink"/>
                  <w:rFonts w:ascii="Arial;sans-serif" w:hAnsi="Arial;sans-serif"/>
                  <w:b w:val="false"/>
                  <w:strike w:val="false"/>
                  <w:dstrike w:val="false"/>
                  <w:color w:val="000000"/>
                  <w:sz w:val="18"/>
                  <w:u w:val="none"/>
                  <w:effect w:val="none"/>
                </w:rPr>
                <w:t>[Reserved]</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82">
              <w:r>
                <w:rPr>
                  <w:rStyle w:val="InternetLink"/>
                  <w:rFonts w:ascii="Arial;sans-serif" w:hAnsi="Arial;sans-serif"/>
                  <w:b w:val="false"/>
                  <w:strike w:val="false"/>
                  <w:dstrike w:val="false"/>
                  <w:color w:val="000000"/>
                  <w:sz w:val="18"/>
                  <w:u w:val="none"/>
                  <w:effect w:val="none"/>
                </w:rPr>
                <w:t>Item 7</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82">
              <w:r>
                <w:rPr>
                  <w:rStyle w:val="InternetLink"/>
                  <w:rFonts w:ascii="Arial;sans-serif" w:hAnsi="Arial;sans-serif"/>
                  <w:b w:val="false"/>
                  <w:strike w:val="false"/>
                  <w:dstrike w:val="false"/>
                  <w:color w:val="000000"/>
                  <w:sz w:val="18"/>
                  <w:u w:val="none"/>
                  <w:effect w:val="none"/>
                </w:rPr>
                <w:t>Management’s Discussion and Analysis of Financial Condition and Results of Operations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118">
              <w:r>
                <w:rPr>
                  <w:rStyle w:val="InternetLink"/>
                  <w:rFonts w:ascii="Arial;sans-serif" w:hAnsi="Arial;sans-serif"/>
                  <w:b w:val="false"/>
                  <w:strike w:val="false"/>
                  <w:dstrike w:val="false"/>
                  <w:color w:val="000000"/>
                  <w:sz w:val="18"/>
                  <w:u w:val="none"/>
                  <w:effect w:val="none"/>
                </w:rPr>
                <w:t>Item 7A</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118">
              <w:r>
                <w:rPr>
                  <w:rStyle w:val="InternetLink"/>
                  <w:rFonts w:ascii="Arial;sans-serif" w:hAnsi="Arial;sans-serif"/>
                  <w:b w:val="false"/>
                  <w:strike w:val="false"/>
                  <w:dstrike w:val="false"/>
                  <w:color w:val="000000"/>
                  <w:sz w:val="18"/>
                  <w:u w:val="none"/>
                  <w:effect w:val="none"/>
                </w:rPr>
                <w:t>Quantitative and Qualitative Disclosures About Market Risk</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121">
              <w:r>
                <w:rPr>
                  <w:rStyle w:val="InternetLink"/>
                  <w:rFonts w:ascii="Arial;sans-serif" w:hAnsi="Arial;sans-serif"/>
                  <w:b w:val="false"/>
                  <w:strike w:val="false"/>
                  <w:dstrike w:val="false"/>
                  <w:color w:val="000000"/>
                  <w:sz w:val="18"/>
                  <w:u w:val="none"/>
                  <w:effect w:val="none"/>
                </w:rPr>
                <w:t>Item 8</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121">
              <w:r>
                <w:rPr>
                  <w:rStyle w:val="InternetLink"/>
                  <w:rFonts w:ascii="Arial;sans-serif" w:hAnsi="Arial;sans-serif"/>
                  <w:b w:val="false"/>
                  <w:strike w:val="false"/>
                  <w:dstrike w:val="false"/>
                  <w:color w:val="000000"/>
                  <w:sz w:val="18"/>
                  <w:u w:val="none"/>
                  <w:effect w:val="none"/>
                </w:rPr>
                <w:t>Financial Statements and Supplementary Data</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05">
              <w:r>
                <w:rPr>
                  <w:rStyle w:val="InternetLink"/>
                  <w:rFonts w:ascii="Arial;sans-serif" w:hAnsi="Arial;sans-serif"/>
                  <w:b w:val="false"/>
                  <w:strike w:val="false"/>
                  <w:dstrike w:val="false"/>
                  <w:color w:val="000000"/>
                  <w:sz w:val="18"/>
                  <w:u w:val="none"/>
                  <w:effect w:val="none"/>
                </w:rPr>
                <w:t>Item 9</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05">
              <w:r>
                <w:rPr>
                  <w:rStyle w:val="InternetLink"/>
                  <w:rFonts w:ascii="Arial;sans-serif" w:hAnsi="Arial;sans-serif"/>
                  <w:b w:val="false"/>
                  <w:strike w:val="false"/>
                  <w:dstrike w:val="false"/>
                  <w:color w:val="000000"/>
                  <w:sz w:val="18"/>
                  <w:u w:val="none"/>
                  <w:effect w:val="none"/>
                </w:rPr>
                <w:t>Changes in and Disagreements with Accountants on Accounting and Financial Disclosure</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08">
              <w:r>
                <w:rPr>
                  <w:rStyle w:val="InternetLink"/>
                  <w:rFonts w:ascii="Arial;sans-serif" w:hAnsi="Arial;sans-serif"/>
                  <w:b w:val="false"/>
                  <w:strike w:val="false"/>
                  <w:dstrike w:val="false"/>
                  <w:color w:val="000000"/>
                  <w:sz w:val="18"/>
                  <w:u w:val="none"/>
                  <w:effect w:val="none"/>
                </w:rPr>
                <w:t>Item 9A</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08">
              <w:r>
                <w:rPr>
                  <w:rStyle w:val="InternetLink"/>
                  <w:rFonts w:ascii="Arial;sans-serif" w:hAnsi="Arial;sans-serif"/>
                  <w:b w:val="false"/>
                  <w:strike w:val="false"/>
                  <w:dstrike w:val="false"/>
                  <w:color w:val="000000"/>
                  <w:sz w:val="18"/>
                  <w:u w:val="none"/>
                  <w:effect w:val="none"/>
                </w:rPr>
                <w:t>Controls and Procedures</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11">
              <w:r>
                <w:rPr>
                  <w:rStyle w:val="InternetLink"/>
                  <w:rFonts w:ascii="Arial;sans-serif" w:hAnsi="Arial;sans-serif"/>
                  <w:b w:val="false"/>
                  <w:strike w:val="false"/>
                  <w:dstrike w:val="false"/>
                  <w:color w:val="000000"/>
                  <w:sz w:val="18"/>
                  <w:u w:val="none"/>
                  <w:effect w:val="none"/>
                </w:rPr>
                <w:t>Item 9B</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11">
              <w:r>
                <w:rPr>
                  <w:rStyle w:val="InternetLink"/>
                  <w:rFonts w:ascii="Arial;sans-serif" w:hAnsi="Arial;sans-serif"/>
                  <w:b w:val="false"/>
                  <w:strike w:val="false"/>
                  <w:dstrike w:val="false"/>
                  <w:color w:val="000000"/>
                  <w:sz w:val="18"/>
                  <w:u w:val="none"/>
                  <w:effect w:val="none"/>
                </w:rPr>
                <w:t>Other Information</w:t>
              </w:r>
            </w:hyperlink>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14">
              <w:r>
                <w:rPr>
                  <w:rStyle w:val="InternetLink"/>
                  <w:rFonts w:ascii="Arial;sans-serif" w:hAnsi="Arial;sans-serif"/>
                  <w:b/>
                  <w:strike w:val="false"/>
                  <w:dstrike w:val="false"/>
                  <w:color w:val="000000"/>
                  <w:sz w:val="18"/>
                  <w:u w:val="none"/>
                  <w:effect w:val="none"/>
                </w:rPr>
                <w:t>PART III</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17">
              <w:r>
                <w:rPr>
                  <w:rStyle w:val="InternetLink"/>
                  <w:rFonts w:ascii="Arial;sans-serif" w:hAnsi="Arial;sans-serif"/>
                  <w:b w:val="false"/>
                  <w:strike w:val="false"/>
                  <w:dstrike w:val="false"/>
                  <w:color w:val="000000"/>
                  <w:sz w:val="18"/>
                  <w:u w:val="none"/>
                  <w:effect w:val="none"/>
                </w:rPr>
                <w:t>Item 10</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17">
              <w:r>
                <w:rPr>
                  <w:rStyle w:val="InternetLink"/>
                  <w:rFonts w:ascii="Arial;sans-serif" w:hAnsi="Arial;sans-serif"/>
                  <w:b w:val="false"/>
                  <w:strike w:val="false"/>
                  <w:dstrike w:val="false"/>
                  <w:color w:val="000000"/>
                  <w:sz w:val="18"/>
                  <w:u w:val="none"/>
                  <w:effect w:val="none"/>
                </w:rPr>
                <w:t>Directors, Executive Officers and Corporate Governance</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20">
              <w:r>
                <w:rPr>
                  <w:rStyle w:val="InternetLink"/>
                  <w:rFonts w:ascii="Arial;sans-serif" w:hAnsi="Arial;sans-serif"/>
                  <w:b w:val="false"/>
                  <w:strike w:val="false"/>
                  <w:dstrike w:val="false"/>
                  <w:color w:val="000000"/>
                  <w:sz w:val="18"/>
                  <w:u w:val="none"/>
                  <w:effect w:val="none"/>
                </w:rPr>
                <w:t>Item 11</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20">
              <w:r>
                <w:rPr>
                  <w:rStyle w:val="InternetLink"/>
                  <w:rFonts w:ascii="Arial;sans-serif" w:hAnsi="Arial;sans-serif"/>
                  <w:b w:val="false"/>
                  <w:strike w:val="false"/>
                  <w:dstrike w:val="false"/>
                  <w:color w:val="000000"/>
                  <w:sz w:val="18"/>
                  <w:u w:val="none"/>
                  <w:effect w:val="none"/>
                </w:rPr>
                <w:t>Executive Compensation</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23">
              <w:r>
                <w:rPr>
                  <w:rStyle w:val="InternetLink"/>
                  <w:rFonts w:ascii="Arial;sans-serif" w:hAnsi="Arial;sans-serif"/>
                  <w:b w:val="false"/>
                  <w:strike w:val="false"/>
                  <w:dstrike w:val="false"/>
                  <w:color w:val="000000"/>
                  <w:sz w:val="18"/>
                  <w:u w:val="none"/>
                  <w:effect w:val="none"/>
                </w:rPr>
                <w:t>Item 12</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23">
              <w:r>
                <w:rPr>
                  <w:rStyle w:val="InternetLink"/>
                  <w:rFonts w:ascii="Arial;sans-serif" w:hAnsi="Arial;sans-serif"/>
                  <w:b w:val="false"/>
                  <w:strike w:val="false"/>
                  <w:dstrike w:val="false"/>
                  <w:color w:val="000000"/>
                  <w:sz w:val="18"/>
                  <w:u w:val="none"/>
                  <w:effect w:val="none"/>
                </w:rPr>
                <w:t>Security Ownership of Certain Beneficial Owners and Management Related Stockholder Matters</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26">
              <w:r>
                <w:rPr>
                  <w:rStyle w:val="InternetLink"/>
                  <w:rFonts w:ascii="Arial;sans-serif" w:hAnsi="Arial;sans-serif"/>
                  <w:b w:val="false"/>
                  <w:strike w:val="false"/>
                  <w:dstrike w:val="false"/>
                  <w:color w:val="000000"/>
                  <w:sz w:val="18"/>
                  <w:u w:val="none"/>
                  <w:effect w:val="none"/>
                </w:rPr>
                <w:t>Item 13</w:t>
              </w:r>
            </w:hyperlink>
          </w:p>
        </w:tc>
        <w:tc>
          <w:tcPr>
            <w:tcW w:w="9132" w:type="dxa"/>
            <w:gridSpan w:val="6"/>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26">
              <w:r>
                <w:rPr>
                  <w:rStyle w:val="InternetLink"/>
                  <w:rFonts w:ascii="Arial;sans-serif" w:hAnsi="Arial;sans-serif"/>
                  <w:b w:val="false"/>
                  <w:strike w:val="false"/>
                  <w:dstrike w:val="false"/>
                  <w:color w:val="000000"/>
                  <w:sz w:val="18"/>
                  <w:u w:val="none"/>
                  <w:effect w:val="none"/>
                </w:rPr>
                <w:t>Certain Relationships and Related Transactions, and Director Independence</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29">
              <w:r>
                <w:rPr>
                  <w:rStyle w:val="InternetLink"/>
                  <w:rFonts w:ascii="Arial;sans-serif" w:hAnsi="Arial;sans-serif"/>
                  <w:b w:val="false"/>
                  <w:strike w:val="false"/>
                  <w:dstrike w:val="false"/>
                  <w:color w:val="000000"/>
                  <w:sz w:val="18"/>
                  <w:u w:val="none"/>
                  <w:effect w:val="none"/>
                </w:rPr>
                <w:t>Item 14</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29">
              <w:r>
                <w:rPr>
                  <w:rStyle w:val="InternetLink"/>
                  <w:rFonts w:ascii="Arial;sans-serif" w:hAnsi="Arial;sans-serif"/>
                  <w:b w:val="false"/>
                  <w:strike w:val="false"/>
                  <w:dstrike w:val="false"/>
                  <w:color w:val="000000"/>
                  <w:sz w:val="18"/>
                  <w:u w:val="none"/>
                  <w:effect w:val="none"/>
                </w:rPr>
                <w:t>Principal Accountant Fees and Services</w:t>
              </w:r>
            </w:hyperlink>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32">
              <w:r>
                <w:rPr>
                  <w:rStyle w:val="InternetLink"/>
                  <w:rFonts w:ascii="Arial;sans-serif" w:hAnsi="Arial;sans-serif"/>
                  <w:b/>
                  <w:strike w:val="false"/>
                  <w:dstrike w:val="false"/>
                  <w:color w:val="000000"/>
                  <w:sz w:val="18"/>
                  <w:u w:val="none"/>
                  <w:effect w:val="none"/>
                </w:rPr>
                <w:t>PART IV</w:t>
              </w:r>
            </w:hyperlink>
          </w:p>
        </w:tc>
      </w:tr>
      <w:tr>
        <w:trPr/>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35">
              <w:r>
                <w:rPr>
                  <w:rStyle w:val="InternetLink"/>
                  <w:rFonts w:ascii="Arial;sans-serif" w:hAnsi="Arial;sans-serif"/>
                  <w:b w:val="false"/>
                  <w:strike w:val="false"/>
                  <w:dstrike w:val="false"/>
                  <w:color w:val="000000"/>
                  <w:sz w:val="18"/>
                  <w:u w:val="none"/>
                  <w:effect w:val="none"/>
                </w:rPr>
                <w:t>Item 15</w:t>
              </w:r>
            </w:hyperlink>
          </w:p>
        </w:tc>
        <w:tc>
          <w:tcPr>
            <w:tcW w:w="9132" w:type="dxa"/>
            <w:gridSpan w:val="6"/>
            <w:tcBorders/>
            <w:shd w:fill="DBDBDB"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35">
              <w:r>
                <w:rPr>
                  <w:rStyle w:val="InternetLink"/>
                  <w:rFonts w:ascii="Arial;sans-serif" w:hAnsi="Arial;sans-serif"/>
                  <w:b w:val="false"/>
                  <w:strike w:val="false"/>
                  <w:dstrike w:val="false"/>
                  <w:color w:val="000080"/>
                  <w:sz w:val="18"/>
                  <w:u w:val="single"/>
                  <w:effect w:val="none"/>
                </w:rPr>
                <w:t>Exhibit</w:t>
              </w:r>
            </w:hyperlink>
            <w:hyperlink w:anchor="i6c5c72f0a7bf4edba66dc96965e21355_235">
              <w:r>
                <w:rPr>
                  <w:rStyle w:val="InternetLink"/>
                  <w:rFonts w:ascii="Arial;sans-serif" w:hAnsi="Arial;sans-serif"/>
                  <w:b w:val="false"/>
                  <w:strike w:val="false"/>
                  <w:dstrike w:val="false"/>
                  <w:color w:val="000080"/>
                  <w:sz w:val="18"/>
                  <w:u w:val="single"/>
                  <w:effect w:val="none"/>
                </w:rPr>
                <w:t xml:space="preserve"> and Financial Statement Schedules</w:t>
              </w:r>
            </w:hyperlink>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00"/>
              <w:jc w:val="left"/>
              <w:rPr/>
            </w:pPr>
            <w:hyperlink w:anchor="i6c5c72f0a7bf4edba66dc96965e21355_238">
              <w:r>
                <w:rPr>
                  <w:rStyle w:val="InternetLink"/>
                  <w:rFonts w:ascii="Arial;sans-serif" w:hAnsi="Arial;sans-serif"/>
                  <w:b/>
                  <w:strike w:val="false"/>
                  <w:dstrike w:val="false"/>
                  <w:color w:val="000000"/>
                  <w:sz w:val="18"/>
                  <w:u w:val="none"/>
                  <w:effect w:val="none"/>
                </w:rPr>
                <w:t>SIGNATURES</w:t>
              </w:r>
            </w:hyperlink>
          </w:p>
        </w:tc>
      </w:tr>
    </w:tbl>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4"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Cautionary Note Regarding Forward Looking Statements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This Annual Report on Form 10-K contains forward-looking statements within the meaning of the US Private Securities Litigation Reform Act of 1995 and Section 21E of the Securities Exchange Act.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we believe that these forward-looking statements are based on reasonable assumptions, we can give no assurance that any such forward-looking statement will materialize. Important factors that may affect actual results or outcomes include, among others: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impacts of various laws and regulations and recent pronouncements related to laws and regulations governing antitrust, climate-related disclosures, privacy, government contracts, anti-corruption and the environment;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successfully acquire and integrate new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effect of global or local economic conditions in the industries and markets in which the Company operates and any changes therein, including financial market conditions and levels of end market demand;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associated with cybersecurity threats and IT systems disruptions, including our ability to manage the business in the event a cybersecurity incident or a disaster shuts down or materially impacts our management information systems;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trade policies and changes in trade policies, including the imposition of tariffs, their enforcement and downstream consequences;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effectively compete in the modular space and portable storage industries;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effectively manage our credit risk, collect on our accounts receivable, or recover our rental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inflationary pressures and fluctuations in interest rates and commodity prices;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associated with labor relations, labor costs and labor disruptions;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changes in the competitive environment of our customer base as a result of the global, national or local economic climate in which they operate and/or economic or financial disruptions to their industry;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adequately protect our intellectual property and other proprietary rights that are material to our business;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natural disasters and other business disruptions such as pandemics, fires, floods, hurricanes, earthquakes and terrorism;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establish and maintain the appropriate physical presence in our markets;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property, casualty or other losses not covered by our insurance;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close our unit sales transactions;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maintain an effective system of internal controls and accurately report our financial results;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evolving public disclosure, financial reporting and corporate governance expectations;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achieve our environmental, social and governance goals;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operational, economic, political and regulatory risks;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effective management of our rental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effect of changes in state building codes on our ability to remarket our buildings;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foreign currency exchange rate exposure;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significant increases in the costs and restrictions on the availability of raw materials and labor;</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fluctuations in fuel costs or a reduction in fuel supplies;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reliance on third party manufacturers and suppliers;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impairment of our goodwill, intangible assets and indefinite-life intangible assets;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use our net operating loss carryforwards and other tax attributes;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ability to recognize deferred tax assets such as those related to our tax loss carryforwards and, as a result, utilize future tax savings;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unanticipated changes in tax obligations, adoption of a new tax legislation, or exposure to additional income tax liabilities;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access the capital and credit markets or the ability of key counterparties to perform their obligations to us;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service our debt and operate our business;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our ability to incur significant additional amounts of debt, which could further exacerbate the risks associated with our substantial indebtedness;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covenants that limit our operating and financial flexibility;</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our stock price volatility;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risks associated with the completion of the McGrath Acquisition within the expected timeframe, the completion of the McGrath Acquisition, and the realization of anticipated synergies from the McGrath Acquisition;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other factors detailed under the section entitled "Risk Factors."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Any forward-looking statement speaks only at the date which it is made, and we undertake no obligation, and disclaim any obligation, to update or revise any forward-looking statements, whether as a result of new information, future events or otherwise, except as required by law.</w:t>
      </w:r>
    </w:p>
    <w:p>
      <w:pPr>
        <w:pStyle w:val="TextBody"/>
        <w:bidi w:val="0"/>
        <w:spacing w:before="0" w:after="60"/>
        <w:ind w:left="0" w:right="0" w:firstLine="720"/>
        <w:jc w:val="both"/>
        <w:rPr/>
      </w:pPr>
      <w:r>
        <w:rPr/>
      </w:r>
    </w:p>
    <w:p>
      <w:pPr>
        <w:pStyle w:val="TextBody"/>
        <w:bidi w:val="0"/>
        <w:spacing w:lineRule="auto" w:line="288" w:before="0" w:after="60"/>
        <w:ind w:left="0" w:right="0" w:firstLine="720"/>
        <w:jc w:val="center"/>
        <w:rPr>
          <w:rFonts w:ascii="Arial;sans-serif" w:hAnsi="Arial;sans-serif"/>
          <w:b/>
          <w:color w:val="1D2758"/>
          <w:sz w:val="44"/>
        </w:rPr>
      </w:pPr>
      <w:r>
        <w:rPr>
          <w:rFonts w:ascii="Arial;sans-serif" w:hAnsi="Arial;sans-serif"/>
          <w:b/>
          <w:color w:val="1D2758"/>
          <w:sz w:val="4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2160"/>
        <w:jc w:val="both"/>
        <w:rPr>
          <w:rFonts w:ascii="Arial;sans-serif" w:hAnsi="Arial;sans-serif"/>
          <w:b/>
          <w:color w:val="000000"/>
          <w:sz w:val="44"/>
        </w:rPr>
      </w:pPr>
      <w:r>
        <w:rPr>
          <w:rFonts w:ascii="Arial;sans-serif" w:hAnsi="Arial;sans-serif"/>
          <w:b/>
          <w:color w:val="000000"/>
          <w:sz w:val="44"/>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720"/>
        <w:jc w:val="both"/>
        <w:rPr>
          <w:rFonts w:ascii="Arial;sans-serif" w:hAnsi="Arial;sans-serif"/>
          <w:b w:val="false"/>
          <w:color w:val="000000"/>
          <w:sz w:val="18"/>
        </w:rPr>
      </w:pPr>
      <w:r>
        <w:rPr>
          <w:rFonts w:ascii="Arial;sans-serif" w:hAnsi="Arial;sans-serif"/>
          <w:b w:val="false"/>
          <w:color w:val="000000"/>
          <w:sz w:val="18"/>
        </w:rPr>
        <w:t>Unless the context otherwise requires, “we,” “us,” “our” and the “Company” refers to WillScot Mobile Mini Holdings Corp. ("WillScot Mobile Mini") and its subsidiaries.</w:t>
      </w: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Our Company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Headquartered in Phoenix, Arizona, we are a leading business services provider specializing in innovative and flexible turnkey temporary space solutions. Our diverse product offering includes modular office complexes, mobile offices, classrooms, restroom solutions, blast-resistant modules, clearspan structures, portable storage containers, and climate-controlled storage units. We offer our customers a thoughtfully curated selection of “Ready to Work” solutions with value-added products and services, such as the rental of steps, ramps, furnishings, appliances, electrical and lighting products, space optimization assets, and other items that improve the overall customer experience. These turnkey space solutions offer customers flexible, low-cost, and timely solutions to meet their temporary space needs on an outsourced basis.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With roots dating back more than 80 years, we service diverse end markets across all sectors of the economy from a network of approximately 250 branch locations and additional drop lots throughout the United States (“US”), Canada, and Mexico. We lease turnkey temporary space solutions (our “lease fleet”) to customers in the construction, commercial and industrial, retail and wholesale trade, energy and natural resources, education, government, healthcare and other end markets.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WillScot Mobile Mini is the holding company for the Williams Scotsman and Mobile Mini families of companies, which resulted from the merger of WillScot Corporation ("WillScot") and Mobile Mini, Inc. ("Mobile Mini") on July 1, 2020 (the "Merger"). On September 30, 2022, the Company completed the sale of its former Tank and Pump Solutions ("Tank and Pump") segment. On January 31, 2023, the Company completed the sale of its former United Kingdom Storage Solutions ("UK Storage Solutions") segment. The accompanying consolidated financial statements present the historical financial results of the former Tank and Pump and UK Storage Solutions segments as discontinued operations for all periods presented.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2023, we acquired a U.S. national provider of climate-controlled storage solutions, which consisted primarily of approximately 2,200 climate-controlled containers and refrigerated storage trailers, a regional modular space manufacturing and leasing business, which consisted primarily of approximately 1,300 modular leasing units, and a U.S. national provider of premium large clearspan structures. We also acquired certain assets and liabilities of five smaller entities, which consisted primarily of approximately 1,800 storage units and 700 modular units.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Products and Services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Modular Space Solutions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modular space units meet a broad range of customer needs. Our modular units are typically made of steel and aluminum frames, as well as traditional building materials, and range from standalone portable units as small as 24 square feet to large complex units that can be coupled together or stacked to create versatile workspaces in excess of 10,000 square feet. In all cases, we deploy modular units to customers rapidly from our extensive branch network using our hybrid in-house and outsourced logistics and service infrastructure. We specialize in turnkey ‘Ready to Work’ solutions, which means our units can arrive fully equipped with air conditioning, heating, and filtration units, electrical and Ethernet ports, plumbing and utility hookups, as well as our proprietary line of furnishings and appliances, which we refer to collectively as Value-Added Products and Services (“VAPS”). Our units are transported by truck, either towed (if fitted with axles and hitches) or mounted on flat-bed trailers.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Modular space units have attractive economic characteristics, and our ability to lease and maintain our assets’ profitability over economic lives, which often exceed 20 years, is a unique capability and competitive advantage. We utilize standard fleet maintenance procedures across the branch network, monitor fleet condition and allocate capital expenditures centrally, and ensure all units meet consistent quality and condition requirements, regardless of unit age, prior to delivery to a customer. Modular leasing is complemented by new unit sales and sales of rental units. In connection with our leasing and sales activities, we provide services including delivery and installation, maintenance and ad hoc services, and removal services at the end of lease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pPr>
      <w:r>
        <w:rPr>
          <w:rFonts w:ascii="Arial;sans-serif" w:hAnsi="Arial;sans-serif"/>
          <w:b/>
          <w:i/>
          <w:color w:val="1D2758"/>
          <w:sz w:val="18"/>
        </w:rPr>
        <w:t xml:space="preserve">Panelized and Stackable Offices. </w:t>
      </w:r>
      <w:r>
        <w:rPr>
          <w:rFonts w:ascii="Arial;sans-serif" w:hAnsi="Arial;sans-serif"/>
          <w:b w:val="false"/>
          <w:color w:val="000000"/>
          <w:sz w:val="18"/>
        </w:rPr>
        <w:t>O</w:t>
      </w:r>
      <w:r>
        <w:rPr>
          <w:rFonts w:ascii="Arial;sans-serif" w:hAnsi="Arial;sans-serif"/>
          <w:b w:val="false"/>
          <w:color w:val="000000"/>
          <w:sz w:val="18"/>
          <w:shd w:fill="FFFFFF" w:val="clear"/>
        </w:rPr>
        <w:t>ur FLEX</w:t>
      </w:r>
      <w:r>
        <w:rPr>
          <w:rFonts w:ascii="Arial;sans-serif" w:hAnsi="Arial;sans-serif"/>
          <w:b w:val="false"/>
          <w:color w:val="000000"/>
          <w:sz w:val="12"/>
          <w:shd w:fill="FFFFFF" w:val="clear"/>
        </w:rPr>
        <w:t>TM</w:t>
      </w:r>
      <w:r>
        <w:rPr>
          <w:color w:val="000000"/>
          <w:shd w:fill="FFFFFF" w:val="clear"/>
        </w:rPr>
        <w:t xml:space="preserve"> </w:t>
      </w:r>
      <w:r>
        <w:rPr>
          <w:rFonts w:ascii="Arial;sans-serif" w:hAnsi="Arial;sans-serif"/>
          <w:b w:val="false"/>
          <w:color w:val="000000"/>
          <w:sz w:val="18"/>
          <w:shd w:fill="FFFFFF" w:val="clear"/>
        </w:rPr>
        <w:t>p</w:t>
      </w:r>
      <w:r>
        <w:rPr>
          <w:rFonts w:ascii="Arial;sans-serif" w:hAnsi="Arial;sans-serif"/>
          <w:b w:val="false"/>
          <w:color w:val="000000"/>
          <w:sz w:val="18"/>
        </w:rPr>
        <w:t>anelized and stackable offices are the next generation of modular space technology and offer maximum flexibility and design configurations. These units provide a modern, innovative design, smaller footprint, ground level access, and interchangeable panels, including all glass panels that allow customers to configure the space to their precise requirements. These units can expand upwards up to three stories and outwards, which provides maximum versatility.</w:t>
      </w:r>
    </w:p>
    <w:p>
      <w:pPr>
        <w:pStyle w:val="TextBody"/>
        <w:bidi w:val="0"/>
        <w:spacing w:lineRule="auto" w:line="288" w:before="0" w:after="60"/>
        <w:ind w:left="0" w:right="0" w:firstLine="720"/>
        <w:jc w:val="both"/>
        <w:rPr/>
      </w:pPr>
      <w:r>
        <w:rPr>
          <w:rFonts w:ascii="Arial;sans-serif" w:hAnsi="Arial;sans-serif"/>
          <w:b/>
          <w:i/>
          <w:color w:val="1D2758"/>
          <w:sz w:val="18"/>
        </w:rPr>
        <w:t xml:space="preserve">Single-Wide Modular Space Units. </w:t>
      </w:r>
      <w:r>
        <w:rPr>
          <w:rFonts w:ascii="Arial;sans-serif" w:hAnsi="Arial;sans-serif"/>
          <w:b w:val="false"/>
          <w:color w:val="000000"/>
          <w:sz w:val="18"/>
        </w:rPr>
        <w:t>Single-wide modular space units include mobile offices and sales offices. These units offer maximum ease of installation and removal and are deployed across the broadest range of applications in our fleet. These units typically have “open interiors,” which can be modified using movable partitions, and include tile floors, air conditioning, heating and filtration units, partitions and toilet facilities.</w:t>
      </w:r>
    </w:p>
    <w:p>
      <w:pPr>
        <w:pStyle w:val="TextBody"/>
        <w:bidi w:val="0"/>
        <w:spacing w:lineRule="auto" w:line="288" w:before="0" w:after="60"/>
        <w:ind w:left="0" w:right="0" w:firstLine="720"/>
        <w:jc w:val="both"/>
        <w:rPr/>
      </w:pPr>
      <w:r>
        <w:rPr>
          <w:rFonts w:ascii="Arial;sans-serif" w:hAnsi="Arial;sans-serif"/>
          <w:b/>
          <w:i/>
          <w:color w:val="1D2758"/>
          <w:sz w:val="18"/>
        </w:rPr>
        <w:t xml:space="preserve">Section Modulars and Redi-Plex. </w:t>
      </w:r>
      <w:r>
        <w:rPr>
          <w:rFonts w:ascii="Arial;sans-serif" w:hAnsi="Arial;sans-serif"/>
          <w:b w:val="false"/>
          <w:color w:val="000000"/>
          <w:sz w:val="18"/>
        </w:rPr>
        <w:t>Section modulars are two or more units combined into one structure. Redi-Plex complexes offer advanced versatility for large, open floor plans or custom layouts with private offices. Redi-Plex is built with clearspan construction, which eliminates interference from support columns and allows for up to sixty feet of open building width and building lengths that increase in twelve-foot increments based on the number of units coupled together. Our proprietary design meets a wide range of national and state building, electrical, mechanical, and plumbing codes, which creates versatility in fleet management. Examples of section modular units include hospital diagnostic annexes, special events headquarters, temporary data centers, and larger general commercial offices.</w:t>
      </w:r>
    </w:p>
    <w:p>
      <w:pPr>
        <w:pStyle w:val="TextBody"/>
        <w:bidi w:val="0"/>
        <w:spacing w:lineRule="auto" w:line="288" w:before="0" w:after="60"/>
        <w:ind w:left="0" w:right="0" w:firstLine="720"/>
        <w:jc w:val="both"/>
        <w:rPr/>
      </w:pPr>
      <w:r>
        <w:rPr>
          <w:rFonts w:ascii="Arial;sans-serif" w:hAnsi="Arial;sans-serif"/>
          <w:b/>
          <w:i/>
          <w:color w:val="1D2758"/>
          <w:sz w:val="18"/>
        </w:rPr>
        <w:t xml:space="preserve">Classrooms. </w:t>
      </w:r>
      <w:r>
        <w:rPr>
          <w:rFonts w:ascii="Arial;sans-serif" w:hAnsi="Arial;sans-serif"/>
          <w:b w:val="false"/>
          <w:color w:val="000000"/>
          <w:sz w:val="18"/>
        </w:rPr>
        <w:t>Classroom units are generally double-wide units or FLEX panelized units adapted specifically for use by school systems or universities. Classroom units usually feature teaching aids, air conditioning, heating and filtration units, windows and, if requested, restroom facilities.</w:t>
      </w:r>
    </w:p>
    <w:p>
      <w:pPr>
        <w:pStyle w:val="TextBody"/>
        <w:bidi w:val="0"/>
        <w:spacing w:lineRule="auto" w:line="288" w:before="0" w:after="60"/>
        <w:ind w:left="0" w:right="0" w:firstLine="720"/>
        <w:jc w:val="both"/>
        <w:rPr/>
      </w:pPr>
      <w:r>
        <w:rPr>
          <w:rFonts w:ascii="Arial;sans-serif" w:hAnsi="Arial;sans-serif"/>
          <w:b/>
          <w:i/>
          <w:color w:val="1D2758"/>
          <w:sz w:val="18"/>
        </w:rPr>
        <w:t xml:space="preserve">Ground Level Offices. </w:t>
      </w:r>
      <w:r>
        <w:rPr>
          <w:rFonts w:ascii="Arial;sans-serif" w:hAnsi="Arial;sans-serif"/>
          <w:b w:val="false"/>
          <w:color w:val="000000"/>
          <w:sz w:val="18"/>
        </w:rPr>
        <w:t>We also offer steel ground level offices from 10 to 40 feet in length and 8 or 10 feet in width. Many of these units are converted to office use from International Organization for Standardization ("ISO") certified shipping containers. These offices are available in various configurations, including all-office floor plans or office and storage combination units that provide a 10</w:t>
        <w:noBreakHyphen/>
        <w:t xml:space="preserve"> or 15</w:t>
        <w:noBreakHyphen/>
        <w:t>foot office with the remaining area available for storage. Ground level offices provide the advantage of ground accessibility for ease of access and high security in an all</w:t>
        <w:noBreakHyphen/>
        <w:t>steel design. These office units are equipped with electrical wiring, air conditioning, heating and filtration units, phone jacks, carpet or tile, high security doors, and windows with security bars or shutters. If requested, these offices are also equipped with sinks, hot water heaters, cabinets and restroom facilities</w:t>
      </w:r>
      <w:r>
        <w:rPr>
          <w:rFonts w:ascii="Times New Roman;sans-serif" w:hAnsi="Times New Roman;sans-serif"/>
          <w:b w:val="false"/>
          <w:color w:val="000000"/>
          <w:sz w:val="20"/>
        </w:rPr>
        <w:t>.</w:t>
      </w:r>
    </w:p>
    <w:p>
      <w:pPr>
        <w:pStyle w:val="TextBody"/>
        <w:bidi w:val="0"/>
        <w:spacing w:lineRule="auto" w:line="288" w:before="0" w:after="60"/>
        <w:ind w:left="0" w:right="0" w:firstLine="720"/>
        <w:jc w:val="both"/>
        <w:rPr/>
      </w:pPr>
      <w:r>
        <w:rPr>
          <w:rFonts w:ascii="Arial;sans-serif" w:hAnsi="Arial;sans-serif"/>
          <w:b/>
          <w:i/>
          <w:color w:val="1D2758"/>
          <w:sz w:val="18"/>
        </w:rPr>
        <w:t xml:space="preserve">Blast-Resistant Modules. </w:t>
      </w:r>
      <w:r>
        <w:rPr>
          <w:rFonts w:ascii="Arial;sans-serif" w:hAnsi="Arial;sans-serif"/>
          <w:b w:val="false"/>
          <w:color w:val="000000"/>
          <w:sz w:val="18"/>
        </w:rPr>
        <w:t>Our diverse fleet of blast-resistant modules has been specifically designed to protect our petrochemical, energy, refinery, and defense customers and any customers operating in blast radius zones. These modules range from 480 square foot units to 2,400 square foot complexes and can be stacked to maximize space. Our blast-resistant units are built for quick deployment to enhance worksite safety in the most hazardous industries, conditions, and blast threats.</w:t>
      </w:r>
    </w:p>
    <w:p>
      <w:pPr>
        <w:pStyle w:val="TextBody"/>
        <w:bidi w:val="0"/>
        <w:spacing w:lineRule="auto" w:line="288" w:before="0" w:after="60"/>
        <w:ind w:left="0" w:right="0" w:firstLine="720"/>
        <w:jc w:val="both"/>
        <w:rPr/>
      </w:pPr>
      <w:r>
        <w:rPr>
          <w:rFonts w:ascii="Arial;sans-serif" w:hAnsi="Arial;sans-serif"/>
          <w:b/>
          <w:i/>
          <w:color w:val="1D2758"/>
          <w:sz w:val="18"/>
        </w:rPr>
        <w:t xml:space="preserve">Clearspan Structures. </w:t>
      </w:r>
      <w:r>
        <w:rPr>
          <w:rFonts w:ascii="Arial;sans-serif" w:hAnsi="Arial;sans-serif"/>
          <w:b w:val="false"/>
          <w:color w:val="000000"/>
          <w:sz w:val="18"/>
        </w:rPr>
        <w:t xml:space="preserve">Our temporary and semi-permanent clearspan structures allow us to offer more expansive flexible spaces to customers. These highly configurable and durable temporary fabric structures are commonly utilized by existing customers across virtually all end markets that we serve. Clearspan structures, also referred to as fabric buildings or industrial tents, are rapidly deployable and have numerous use cases including large-scale industrial warehousing, controlled environments for construction sites, retail and distribution space, and high-end event spaces among many others. </w:t>
      </w:r>
    </w:p>
    <w:p>
      <w:pPr>
        <w:pStyle w:val="TextBody"/>
        <w:bidi w:val="0"/>
        <w:spacing w:lineRule="auto" w:line="288" w:before="0" w:after="120"/>
        <w:ind w:left="0" w:right="0" w:firstLine="720"/>
        <w:jc w:val="both"/>
        <w:rPr/>
      </w:pPr>
      <w:r>
        <w:rPr>
          <w:rFonts w:ascii="Arial;sans-serif" w:hAnsi="Arial;sans-serif"/>
          <w:b/>
          <w:i/>
          <w:color w:val="1D2758"/>
          <w:sz w:val="18"/>
        </w:rPr>
        <w:t xml:space="preserve">Other Modular Space. </w:t>
      </w:r>
      <w:r>
        <w:rPr>
          <w:rFonts w:ascii="Arial;sans-serif" w:hAnsi="Arial;sans-serif"/>
          <w:b w:val="false"/>
          <w:color w:val="000000"/>
          <w:sz w:val="18"/>
        </w:rPr>
        <w:t xml:space="preserve">We offer a range of other specialty products that vary across regions and provide flexibility to serve demands for local markets. Examples include workforce accommodation units with dining facilities used to house workers, often in remote locations, and stand-alone restroom facilities to complement office and classroom units. </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Portable Storage Solutions</w:t>
      </w:r>
    </w:p>
    <w:p>
      <w:pPr>
        <w:pStyle w:val="TextBody"/>
        <w:bidi w:val="0"/>
        <w:spacing w:lineRule="auto" w:line="288" w:before="0" w:after="60"/>
        <w:ind w:left="0" w:right="0" w:firstLine="720"/>
        <w:jc w:val="both"/>
        <w:rPr/>
      </w:pPr>
      <w:r>
        <w:rPr>
          <w:rFonts w:ascii="Arial;sans-serif" w:hAnsi="Arial;sans-serif"/>
          <w:b/>
          <w:i/>
          <w:color w:val="1D2758"/>
          <w:sz w:val="18"/>
        </w:rPr>
        <w:t xml:space="preserve">Portable Storage Containers. </w:t>
      </w:r>
      <w:r>
        <w:rPr>
          <w:rFonts w:ascii="Arial;sans-serif" w:hAnsi="Arial;sans-serif"/>
          <w:b w:val="false"/>
          <w:color w:val="000000"/>
          <w:sz w:val="18"/>
        </w:rPr>
        <w:t>Our portable storage containers offer an assortment of differentiated features such as patented locking systems, premium and multiple door options, optional climate control, and numerous configuration options. Standard portable storage containers are made from weather</w:t>
        <w:noBreakHyphen/>
        <w:t>resistant corrugated steel and are available in lengths ranging from 5 to 48 feet, widths of either 8 or 10 feet, and a variety of configuration options. Doors can be placed at the front, front and back, or the sides of containers. Other options include partitions, ramps, lighting, shelving, and other interior organizational solutions, including PRORACK</w:t>
      </w:r>
      <w:r>
        <w:rPr>
          <w:rFonts w:ascii="Arial;sans-serif" w:hAnsi="Arial;sans-serif"/>
          <w:b w:val="false"/>
          <w:color w:val="000000"/>
          <w:sz w:val="12"/>
        </w:rPr>
        <w:t>TM</w:t>
      </w:r>
      <w:r>
        <w:rPr>
          <w:rFonts w:ascii="Arial;sans-serif" w:hAnsi="Arial;sans-serif"/>
          <w:b w:val="false"/>
          <w:color w:val="000000"/>
          <w:sz w:val="18"/>
        </w:rPr>
        <w:t>, our innovative complete system of sturdy readily movable surfaces. We provide our customers with various differentiated portable storage offerings, ranging from a standard ISO container to more premium products with enhanced security and other features. Storage containers can be equipped with our patented Tri</w:t>
        <w:noBreakHyphen/>
        <w:t>Cam Locking System®, which features a waist</w:t>
        <w:noBreakHyphen/>
        <w:t>level opening lever and interlocking bars to provide easy access for the customer without sacrificing security. We also offer ContainerGuardLock®, an optional security device, which features a hidden six</w:t>
        <w:noBreakHyphen/>
        <w:t>pin tumbler system and is made from drill</w:t>
        <w:noBreakHyphen/>
        <w:t>resistant hardened steel. We believe these steel storage containers are a more convenient and cost</w:t>
        <w:noBreakHyphen/>
        <w:t>effective alternative to mass warehouse storage, with a high level of security to protect our customers' goods on location at their job site, facility, retail location, or office site.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Steel containers have a long useful life with no technical obsolescence. Our portable storage containers generally have estimated useful lives of 30 years from the date we build or acquire and remanufacture them, with average residual values in excess of 50%. We maintain our steel containers on a regular basis by removing rust, painting them with rust inhibiting paint, plug-welding holes, and occasionally replacing the wooden floor or a rusted steel panel. Repainting the outside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of storage units is the most common maintenance item. A properly maintained container is essentially in the same condition as when it was initially acquired or remanufactured.</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remanufacturing process begins with the purchase of used ISO-certified containers from leasing companies, shipping lines, and brokers. These containers were originally built to ISO standards and are 8 feet wide, up to 9.5 feet high and 20, 40 or 45 feet long. After acquisition, we remanufacture and modify these ISO containers. Remanufacturing typically involves cleaning, removing rust and dents, repairing floors and sidewalls, painting, and adding company logos or signs, and may include further customization by adding our proprietary easy opening door system and our patented Tri</w:t>
        <w:noBreakHyphen/>
        <w:t>Cam Locking System®. Modification typically involves splitting some containers into differing lengths.</w:t>
      </w:r>
    </w:p>
    <w:p>
      <w:pPr>
        <w:pStyle w:val="TextBody"/>
        <w:bidi w:val="0"/>
        <w:spacing w:lineRule="auto" w:line="288" w:before="0" w:after="120"/>
        <w:ind w:left="0" w:right="0" w:firstLine="720"/>
        <w:jc w:val="both"/>
        <w:rPr/>
      </w:pPr>
      <w:r>
        <w:rPr>
          <w:rFonts w:ascii="Arial;sans-serif" w:hAnsi="Arial;sans-serif"/>
          <w:b/>
          <w:i/>
          <w:color w:val="1D2758"/>
          <w:sz w:val="18"/>
        </w:rPr>
        <w:t>Cold Storage Containers and Trailers.</w:t>
      </w:r>
      <w:r>
        <w:rPr>
          <w:color w:val="000000"/>
        </w:rPr>
        <w:t xml:space="preserve"> </w:t>
      </w:r>
      <w:r>
        <w:rPr>
          <w:rFonts w:ascii="Arial;sans-serif" w:hAnsi="Arial;sans-serif"/>
          <w:b w:val="false"/>
          <w:color w:val="000000"/>
          <w:sz w:val="18"/>
        </w:rPr>
        <w:t xml:space="preserve">We also offer climate-controlled containers, walk-in freezers, refrigerated storage trailers, and dock-height refrigerated trailers. These turnkey cold storage solutions come in a variety of sizes and are available for lease across the United States. </w:t>
      </w:r>
    </w:p>
    <w:p>
      <w:pPr>
        <w:pStyle w:val="TextBody"/>
        <w:bidi w:val="0"/>
        <w:spacing w:lineRule="auto" w:line="288" w:before="0" w:after="120"/>
        <w:jc w:val="both"/>
        <w:rPr>
          <w:rFonts w:ascii="Arial;sans-serif" w:hAnsi="Arial;sans-serif"/>
          <w:b/>
          <w:color w:val="000000"/>
          <w:sz w:val="20"/>
          <w:shd w:fill="FFFFFF" w:val="clear"/>
        </w:rPr>
      </w:pPr>
      <w:r>
        <w:rPr>
          <w:rFonts w:ascii="Arial;sans-serif" w:hAnsi="Arial;sans-serif"/>
          <w:b/>
          <w:color w:val="000000"/>
          <w:sz w:val="20"/>
          <w:shd w:fill="FFFFFF" w:val="clear"/>
        </w:rPr>
        <w:t>VAPS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offer a thoughtfully curated portfolio of VAPS that make modular space and portable storage units more productive, comfortable, secure, and “Ready to Work” for our customers. We lease furniture, steps, ramps, basic appliances, internet connectivity devices, integral tool racking, heavy duty capacity shelving, workstations, electrical and lighting products and other items to our customers for use in connection with our products. We also offer our lease customers a damage waiver program that protects them in case the leased unit is damaged. For customers who do not select the damage waiver program, we bill them for the cost of repairs above and beyond normal wear and tear. Importantly, management believes that our scale, branch network, supply chain, and sales performance management tools give us a significant advantage in delivering “Ready to Work” turnkey temporary space solutions to our customers and growing VAPS revenue relative to our competitors.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Delivery, Installation and Removal</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operate a hybrid in-house and outsourced logistics and service infrastructure that provides delivery, site work, installation, disassembly, unhooking and removal, and other services to our customers for an additional fee as part of our leasing and sales operations. Revenue from delivery, site work, and installation results from the transportation of units to a customer's location, as well as site work required prior to installation, and installation of the units which have been leased or sold. Typically, modular units are placed on temporary foundations constructed by our in</w:t>
        <w:noBreakHyphen/>
        <w:t>house service technicians or subcontractors. These in</w:t>
        <w:noBreakHyphen/>
        <w:t>house service technicians or subcontractors also generally install any ancillary products and VAPS. We also derive revenue from disassembling, unhooking, and removing units once a lease expires. We believe that our logistics and service capabilities are unrivaled in the industry, differentiate us from competitors, and enhance our value proposition to our customers.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Product Leases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primarily lease, rather than sell, our turnkey temporary space solutions to customers, which results in a highly diversified and predictable recurring revenue stream. For the year ended December 31, 2023, over 90% of new lease orders were on our standard lease agreement, pre-negotiated master lease, or national account agreements. Rental contracts with customers within our Modular segment are generally based on a 28-day or monthly rate and billing cycle. The initial lease periods vary, and our leases are customarily renewable on a month-to-month basis after their initial term. For the year ended December 31, 2023, the average effective duration of our consolidated lease portfolio for modular space and portable storage units, excluding seasonal portable storage units, was approximately 37 months. As a result, our lease revenue is highly predictable due to its recurring nature and the underlying stability and diversification of our lease portfolio.</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For the year ended December 31, 2023, our average minimum contractual lease term at the time of delivery in our Modular segment for modular space units was 13 months. However, given that our customers value flexibility, they consistently extend their leases or renew on a month-to-month basis such that the average effective duration of our Modular segment lease portfolio was over 36 months. Customers are responsible for the costs of delivery and set-up, dismantling and pick-up, customer-specified modifications, costs to return custom modifications back to standard configuration at end of lease, and any loss or damage beyond normal wear and tear. Our leases generally require customers to maintain liability and property insurance covering the units during the lease term and to indemnify us from losses caused by the negligence of the customer or their employees.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Rental contracts with customers within our Storage segment are generally based on a 28</w:t>
        <w:noBreakHyphen/>
        <w:t>day rate and billing cycle. The rental continues until cancelled by the customer or us. On average, steel storage containers on rent for the year ended December 31, 2023 in our Storage segment, excluding seasonal portable storage units, had been in place for over 38 months, and the steel ground level offices on rent for the year ended December 31, 2023 had been in place for approximately 22 months. Rental contracts provide that the customer is responsible for the cost of delivery and pickup and specify that the customer is liable for any damage done to the unit beyond ordinary wear and tear. Customers may purchase a damage waiver to avoid damage liability in certain circumstances, which provides an additional source of recurring revenue. Customer possessions stored within a portable storage unit are the responsibility of that customer unless covered under our contents insurance products.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Demand for our products varies by end market. Construction customers typically reflect higher demand during months with more temperate weather, while demand from large retailers is stronger from September through December,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more space is needed to store holiday inventories. Retail customers usually return these rented units in December and early in the following year, but also undertake ongoing rolling store renovations which present consistent recurring demand throughout the year.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As of December 31, 2023, we had over 368,000 total units including over 156,000 modular space units, approximately 212,000 portable storage units, and other value-added products representing fleet net book value of $3.4 billion and approximately 130 million square feet of relocatable commercial space. Approximately 99,000 of our modular space units, or 63%, and 151,000 of our portable storage units, or 71%, were on rent as of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Product Sales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complement our core leasing business by selling both new and used units, allowing us to leverage our scale, achieve purchasing benefits, and redeploy capital employed in our lease fleet. Generally, we purchase new units from a broad network of third-party manufacturers, or in some instances, manufacture the units ourselves. We only purchase new modular space units for resale when we have obtained firm purchase orders (which normally are non-cancelable and include up-front deposits) for such units. Buying units directly for resale adds scale to our purchasing, which is beneficial to our overall supplier relationships and purchasing terms. New unit sales are a natural extension of our leasing operations in situations where customers have long-lived or permanent projects, making it more cost-effective to purchase rather than to lease a unit, and our customers benefit from our product expertise and delivery and installation capabilities.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the normal course of managing our business, we also sell idle, used rental units at fair market value and units that are already on rent if the customer expresses interest in owning, rather than continuing to rent, the unit. The sale of units from our rental equipment has historically been both a profitable and cost-effective method to finance the replenishment and upgrade of our lease fleet, as well as to generate free cash flow during periods of lower rental demand and utilization. Our sales business may include modifying or customizing units to meet customer requirements. We also offer delivery, installation, and removal-related services for an additional fee as part of our sales operations.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Customers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as we did to service emerging demand in the healthcare and government sectors related to COVID</w:t>
        <w:noBreakHyphen/>
        <w:t>19, as well as expanded space requirements related to social distancing. We track several market leading indicators to predict demand, including those related to our two largest end markets, the commercial and industrial segment and the construction segment, each of which accounted for approximately 43% and 42% of our revenues, respectively, for the year ended December 31, 2023. To optimize the use of fleet assets across our branch network, we centrally manage fleet rebalancing across our end markets. This allows us to serve 15 distinct end markets in which no single customer accounted for more than 2% of revenues for the year ended December 31, 2023.</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For the year ended December 31, 2023, our top 10 customers accounted for approximately 6% of revenues, and our top 50 customers accounted for approximately 13% of revenues, reflecting low customer concentration and significant project diversification within our portfolio.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logistics and service infrastructure is designed to meet or exceed our customers’ expectations by reacting quickly, efficiently, and with consistent service levels. As a result, we have established strong relationships with a diverse customer base, ranging from large multinational companies to local sole proprietors. We served over 85,000 unique customers in 2023. We believe that our customers prefer our modular space and portable storage products over fixed, on-site built space because they are a quick, flexible, cost-effective, and low-risk solution for temporary or permanent expansion or storage.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Our strategy involves operating standardized rental equipment and "Ready to Work" solutions that can be redeployed across our diversified customer base and branch network in 15 discrete end markets. Key customer end markets include: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Construction and Infrastructure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provide office and storage space to a broad array of contractors associated with non-residential buildings and non-building infrastructure, and to a lesser extent, residential construction. Our client portfolio includes many of the largest general contractors and engineering, architecture, procurement, and construction companies in North America, working across all of the non-residential construction sub-sectors. Examples include highway, street, bridge, and tunnel contractors; water, sewer, communication, and power line contractors; and special construction trades, including glass, glazing, and demolition. Our construction and infrastructure customer base is characterized by a wide variety of contractors that are associated with original construction as well as capital improvements in the private, institutional, and municipal arenas. Units are used as offices, lunch and break rooms, accommodations, restroom facilities, material and equipment storage facilities, security offices, and other applications.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Commercial and Industrial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Customers in this category use our products as their primary office or retail space, to expand their existing commercial workspace, to increase their storage capabilities, or as temporary space for festivals, trade shows, sporting,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other events. Customers in this category span a variety of industries ranging from commercial offices; diversified manufacturing; agriculture, forestry and fishing; arts, media, hotels, and entertainment; and many other industrial end markets.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commercial and industrial segment also includes customers in retail and wholesale trade. These include department, drug, grocery, and strip mall stores, logistics, warehousing and distribution services, as well as restaurants, service stations, and dry cleaners. Our customers in retail and wholesale trade include some of the world's largest retailers who have storage needs throughout all stages of their supply chain. On a stand</w:t>
        <w:noBreakHyphen/>
        <w:t>alone basis, retail and wholesale trade customers comprised approximately 13% of fiscal year 2023 rental revenue.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Energy and Natural Resources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products are leased to companies involved in electricity generation and transmission, utilities, up- mid- and down-stream oil and gas, mining exploration and extraction, and other related sectors. Increasingly, the development of renewable energy infrastructure has emerged to complement our traditional energy clientele. Units are used as temporary offices, break rooms, accommodations, security offices, blast-resistant facilities, and other applications.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Education</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Rapid shifts in populations within regions, as well as expanding square footage per student requirements in in-person education settings, often necessitate quick and cost-effective expansion of education facilities, across the spectrum of elementary and secondary schools and universities and colleges. Regional and local governmental budgetary pressures, classroom size reduction legislation, refurbishment of existing facilities, and the expansion of charter schools have made modular classrooms a convenient and cost-effective way to expand capacity in education settings. In addition, our products are used as classrooms when schools are undergoing large scale modernization, which allows continuous operation of a school while modernization progresses.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Government and Institutions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Government customers consist of national, state, provincial, and local public sector organizations. Modular space and portable storage solutions are particularly attractive to focused niches such as healthcare facilities, small municipal buildings, courthouses, military installations, national security buildings, and offices during building modernization, as well as disaster relief.</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r>
        <w:rPr>
          <w:rFonts w:ascii="Arial;sans-serif" w:hAnsi="Arial;sans-serif"/>
          <w:b w:val="false"/>
          <w:color w:val="1D2758"/>
          <w:sz w:val="26"/>
        </w:rPr>
        <w:t>Competitive Strengths</w:t>
      </w:r>
      <w:r>
        <w:rPr>
          <w:color w:val="008A5F"/>
        </w:rPr>
        <w:t xml:space="preserve">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believe that the following competitive strengths have been instrumental to our success and position us for future growth:</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North American Leader in Turnkey Temporary Space Solutions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an industry-leading business services provider specializing in innovative turnkey temporary space solutions. We have a wide and flexible offering of temporary relocatable commercial spaces, a diverse customer base with over 85,000 customers across different end markets, and a geographic footprint of approximately 250 branch locations and additional drop lots.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network serves the largest North American metropolitan areas with local teams who are experts in their respective markets. Our cost</w:t>
        <w:noBreakHyphen/>
        <w:t>effective coverage model serves smaller customers at the local and regional level, while also addressing the needs of larger national customers looking for a full suite of high-quality services that can be provided on a consistent basis throughout North America. Since geographic proximity to customers is a competitive advantage when offering temporary commercial space, we believe that our extensive branch network allows us to better serve existing customers and attract new customers.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believe our extensive scale results in significant operational benefits, such as optimization of fleet yield and utilization, efficient capital allocation, superior service capabilities, and the ability to offer consistent "Ready to Work" turnkey solutions across all of our branch locations.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Value-Added Products and Services ("VAPS")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deliver "Ready to Work" solutions through our growing offering of VAPS, such as the rental of steps, ramps, furniture, appliances, internet connectivity devices, integral tool racking, heavy duty capacity shelving, workstations, electrical and lighting products, and other amenities. This thoughtfully curated portfolio of VAPS makes modular space and portable storage units more productive, comfortable, and secure for our customers and allows us to generate higher revenue per transaction and return on capital and differentiates us from our competitors. These turnkey solutions offer customers flexible, low</w:t>
        <w:noBreakHyphen/>
        <w:t>cost, capital efficient, and timely solutions to meet their space needs on an outsourced basis.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VAPS have been a substantial source of revenue growth for us over the last decade. We have been able to successfully drive a material increase in customer VAPS spend into our recently acquired businesses, which generates highly tangible revenue synergies. We believe our ability to drive VAPS growth following our historical acquisitions highlights the value proposition our VAPS provide to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Sophisticated Logistics and Service Capabilities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Building from the largest branch network in the industry, we operate a sophisticated hybrid in-house and outsourced logistics and service infrastructure that we believe is highly differentiated from our competitors and enhances the value proposition we provide to customers. Precise scheduling of installations and removals, same-day delivery capabilities on certain products, and ability to mobilize large volumes of equipment in any geography serviced by our branch network are all unique capabilities that differentiate WillScot Mobile Mini, particularly among more demanding customer segments. We believe that continuing to further optimize our logistics and service capabilities through the deployment of technology and in-sourcing our services is an opportunity for further cost efficiency and differentiation with our customers.</w:t>
      </w:r>
    </w:p>
    <w:p>
      <w:pPr>
        <w:pStyle w:val="TextBody"/>
        <w:bidi w:val="0"/>
        <w:spacing w:lineRule="auto" w:line="276" w:before="0" w:after="60"/>
        <w:jc w:val="both"/>
        <w:rPr>
          <w:rFonts w:ascii="Arial;sans-serif" w:hAnsi="Arial;sans-serif"/>
          <w:b/>
          <w:color w:val="000000"/>
          <w:sz w:val="20"/>
        </w:rPr>
      </w:pPr>
      <w:r>
        <w:rPr>
          <w:rFonts w:ascii="Arial;sans-serif" w:hAnsi="Arial;sans-serif"/>
          <w:b/>
          <w:color w:val="000000"/>
          <w:sz w:val="20"/>
        </w:rPr>
        <w:t xml:space="preserve">Investments in Technology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believe our technology serves as a primary differentiator relative to our competition and is a key component of our customer value proposition. Our US and Canadian Modular and Storage teams operate using a single consolidated customer relationship management ("CRM") software platform which provides greater visibility into our customer base and enhances our ability to cross-sell our portfolio of products to our customers. We leverage our state of the art SAP enterprise resource planning platform and our data and analytics platform to achieve operating efficiencies and enhance the overall customer experience. Effective use of real</w:t>
        <w:noBreakHyphen/>
        <w:t>time information allows us to monitor and optimize the utilization of our fleet, allocate our fleet to the highest demand markets, optimize pricing, and determine the best allocation of our capital to invest in fleet and branches.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able to dynamically price and approach customer accounts in a strategic and statistically informed manner. We also believe our ability to leverage this data helps us to increase our market share and effectively manage supply and demand dynamics in our fleet to maximize cash flow in all phases of the economic cycle, including identifying opportunities where underutilized lease fleet can be sold to generate cash.</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Similarly, advancements in technology continue to shape our fleet and inventory, enabling us to offer an enhanced experience for our customers. Unit tracking, customer service portals, and other customer</w:t>
        <w:noBreakHyphen/>
        <w:t>facing technological benefits differentiate our offering from competitors who have not invested in these capabilities. We believe we possess superior technology infrastructure relative to our competition and we intend to extend this advantage further by leveraging our infrastructure investments.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Diversified Revenue Base by End Market, Product, Service and Geography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have established strong relationships with a diverse customer base, ranging from large national accounts to small local businesses. Our customers operate in a diversified set of end markets, including commercial and industrial, construction, education, energy and natural resources, government, and other end markets. For the year ended December 31, 2023, the top 50 customers for WillScot Mobile Mini accounted for approximately 13% of total revenues. We believe that the diversity of our customer end markets reduces our exposure to changes related to a given customer, shifts within an industry or geographic region, and end market industry seasonality, while also providing significant opportunities to grow our business. Furthermore, the nature of our products is such that their use is generally agnostic to industry. This flexibility insulates utilization from exposure to industry</w:t>
        <w:noBreakHyphen/>
        <w:t xml:space="preserve">specific shocks, provided there are other needs and applications for these products within a reasonable distance.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chart illustrates the breakdown of our customers and revenue by end market as of December 31, 2023. To optimize the use of fleet assets across our branch network, we centrally manage fleet rebalancing across our end markets. This allows us to serve 15 distinct end markets in which no customer accounted for more than 2% of revenue for the year ended December 31, 2023.</w:t>
      </w:r>
    </w:p>
    <w:p>
      <w:pPr>
        <w:pStyle w:val="TextBody"/>
        <w:bidi w:val="0"/>
        <w:spacing w:before="0" w:after="100"/>
        <w:jc w:val="center"/>
        <w:rPr/>
      </w:pPr>
      <w:r>
        <w:rPr/>
        <w:drawing>
          <wp:inline distT="0" distB="0" distL="0" distR="0">
            <wp:extent cx="4105275" cy="32861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4105275" cy="3286125"/>
                    </a:xfrm>
                    <a:prstGeom prst="rect">
                      <a:avLst/>
                    </a:prstGeom>
                  </pic:spPr>
                </pic:pic>
              </a:graphicData>
            </a:graphic>
          </wp:inline>
        </w:drawing>
      </w:r>
      <w:r>
        <w:rPr/>
        <w:drawing>
          <wp:inline distT="0" distB="0" distL="0" distR="0">
            <wp:extent cx="2286000" cy="328612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2286000" cy="3286125"/>
                    </a:xfrm>
                    <a:prstGeom prst="rect">
                      <a:avLst/>
                    </a:prstGeom>
                  </pic:spPr>
                </pic:pic>
              </a:graphicData>
            </a:graphic>
          </wp:inline>
        </w:drawing>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Proven Track Record Realizing Acquisition Synergies and Deploying Best Practices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have a strong track record of integrating and generating significant revenue and cost synergies with our acquisitions. Since our public listing in 2017, we have executed 33 acquisitions and divestitures totaling approximately $5.4 billion in cumulative enterprise value. These transactions have included small local storage portfolios, regional operators with mixed modular and storage fleets, and larger transformational acquisitions such as Modular Space Corporation in 2018 and Mobile Mini in 2020. Most recently in 2023, we acquired a U.S. national provider of cold storage solutions, a regional modular space manufacturing and leasing business, and a U.S. national provider of premium large clearspan structures. We also acquired certain assets and liabilities of five regional and local modular space and storage businesses in 2023 and, given the scalability of our operating platform, quickly integrated these assets into our leasing portfolio and branch network. Opportunities such as these allow us to reach new customers, expand our product and service offering, and provide further opportunities for revenue and cost synergies. See “Risk Factors—We may be unable to successfully acquire and integrate new operations, which could cause our business to suffer."</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Our Asset Base Provides Highly Attractive Asset-Level Returns with Long Useful Lives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combination of long, predictable lease durations, long asset lives, and attractive unit economics underpins the compelling cash generation capability in our business model. As such, we have made significant investments in our lease fleet and consolidated several competitors. For the year ended December 31, 2023, our modular space and portable storage lease fleet consisted of approximately 130 million square feet of relocatable space, comprising over 156,000 modular space units and approximately 212,000 portable storage units.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generate an attractive internal rate of return ("IRR") in our modular space portfolio driven by the long economic life of our fleet, exceeding 20 years on average, inclusive of any capital expenditure ("capex") required to maintain the fleet to its value maximizing earning potential. When we evaluate the purchase of new modular units and storage containers, we consistently target and realize unit-level IRRs, including VAPS, in excess of 25%.</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stability of cash flows combined with strong economic returns make both modular space and portable storage containers highly attractive specialty rental asset classes, and our logistics and service capabilities and investments in technology further enhance the returns we can generate from these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14"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chart illustrates the breakdown of the net book value ("NBV") of our rental equipment between modular space units, portable storage units and VAPS as of December 31, 2023.</w:t>
      </w:r>
    </w:p>
    <w:p>
      <w:pPr>
        <w:pStyle w:val="TextBody"/>
        <w:bidi w:val="0"/>
        <w:spacing w:before="0" w:after="60"/>
        <w:jc w:val="center"/>
        <w:rPr/>
      </w:pPr>
      <w:r>
        <w:rPr/>
        <w:drawing>
          <wp:inline distT="0" distB="0" distL="0" distR="0">
            <wp:extent cx="5715000" cy="257175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5715000" cy="2571750"/>
                    </a:xfrm>
                    <a:prstGeom prst="rect">
                      <a:avLst/>
                    </a:prstGeom>
                  </pic:spPr>
                </pic:pic>
              </a:graphicData>
            </a:graphic>
          </wp:inline>
        </w:drawing>
      </w:r>
    </w:p>
    <w:p>
      <w:pPr>
        <w:pStyle w:val="TextBody"/>
        <w:bidi w:val="0"/>
        <w:spacing w:before="0" w:after="60"/>
        <w:jc w:val="center"/>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Our Business Generates Predictable Recurring Cash Flow Due to Our Long-Term Leases and Flexible Capex Requirements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recurring revenue, combined with our flexible capex requirements and efficient use of working capital has allowed us to generate substantial Free Cash Flow, both in periods of growth and economic downturn. The long term nature of our leases, with average lease durations of approximately 37 months as of December 31, 2023, produces strong operating income and predictable cash flow.</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Due to the longevity and relative simplicity of our products, we exercise control and discretion over capex, investing only where needed and when needed to meet demand, and selling excess fleet during lower utilization periods. During periods of economic stress, we have the ability to substantially reduce capex and variable costs throughout the portfolio to maximize cash flow, resulting in a Free Cash Flow profile that we believe is counter</w:t>
        <w:noBreakHyphen/>
        <w:t xml:space="preserve">cyclical.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 xml:space="preserve">Our Industry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operate within the modular space and portable storage markets, which we believe are attractive subsegments within the $1 trillion North American market for commercial space. Our services also span across a variety of related sectors, including furniture rental, transportation and logistics, facility management, job site services, commercial storage, and commercial real estate.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Modular Space Market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modular space market is fragmented. Modular space units are non-residential structures designed to meet federal, provincial, state, and local building codes and, in most cases, are designed to be relocatable. Modular space units are constructed offsite, utilizing manufacturing techniques to prefabricate single or multi-story whole building solutions in deliverable modular sections. Units are typically constructed of steel, wood and conventional building materials and can be permanent or relocatable. Blast-resistant modules have been specifically designed to protect our petrochemical, energy, refinery, and defense customers and any customers operating in blast radius zones. Clearspan structures, also referred to as fabric buildings or industrial tents, are rapidly deployable and have numerous use cases including large-scale industrial warehousing, controlled environments for construction sites, retail and distribution space, and high-end event spaces.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modular space market has evolved in recent years as businesses and other potential customers increasingly recognize the value of modular space. The key growth drivers in this market are similar to portable storage and include:</w:t>
      </w:r>
    </w:p>
    <w:p>
      <w:pPr>
        <w:pStyle w:val="TextBody"/>
        <w:bidi w:val="0"/>
        <w:spacing w:lineRule="auto" w:line="288" w:before="0" w:after="60"/>
        <w:jc w:val="both"/>
        <w:rPr/>
      </w:pPr>
      <w:r>
        <w:rPr>
          <w:rFonts w:ascii="Arial;sans-serif" w:hAnsi="Arial;sans-serif"/>
          <w:b/>
          <w:i/>
          <w:color w:val="000000"/>
          <w:sz w:val="18"/>
        </w:rPr>
        <w:t>Growing need and demand for space:</w:t>
      </w:r>
      <w:r>
        <w:rPr>
          <w:color w:val="000000"/>
        </w:rPr>
        <w:t xml:space="preserve"> </w:t>
      </w:r>
      <w:r>
        <w:rPr>
          <w:rFonts w:ascii="Arial;sans-serif" w:hAnsi="Arial;sans-serif"/>
          <w:b w:val="false"/>
          <w:color w:val="000000"/>
          <w:sz w:val="18"/>
        </w:rPr>
        <w:t>driven by general economic activity, including gross domestic product growth, industrial production, mining and natural resources activity, non-residential construction, urbanization, public and education spending, and the scale and frequency of special events.</w:t>
      </w:r>
    </w:p>
    <w:p>
      <w:pPr>
        <w:pStyle w:val="TextBody"/>
        <w:bidi w:val="0"/>
        <w:spacing w:lineRule="auto" w:line="288" w:before="0" w:after="60"/>
        <w:jc w:val="both"/>
        <w:rPr/>
      </w:pPr>
      <w:r>
        <w:rPr>
          <w:rFonts w:ascii="Arial;sans-serif" w:hAnsi="Arial;sans-serif"/>
          <w:b/>
          <w:i/>
          <w:color w:val="000000"/>
          <w:sz w:val="18"/>
        </w:rPr>
        <w:t xml:space="preserve">Shift from traditional fixed, on-site built space to modular space solutions: </w:t>
      </w:r>
      <w:r>
        <w:rPr>
          <w:rFonts w:ascii="Arial;sans-serif" w:hAnsi="Arial;sans-serif"/>
          <w:b w:val="false"/>
          <w:color w:val="000000"/>
          <w:sz w:val="18"/>
        </w:rPr>
        <w:t>driven by several advantages as compared with fixed, on-site built space, including:</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Quick to install:</w:t>
      </w:r>
      <w:r>
        <w:rPr>
          <w:color w:val="000000"/>
        </w:rPr>
        <w:t xml:space="preserve"> </w:t>
      </w:r>
      <w:r>
        <w:rPr>
          <w:rFonts w:ascii="Arial;sans-serif" w:hAnsi="Arial;sans-serif"/>
          <w:b w:val="false"/>
          <w:color w:val="000000"/>
          <w:sz w:val="18"/>
        </w:rPr>
        <w:t>the pre-fabrication of modular space units allows them to be put in place rapidly, providing potential long-term solutions to needs that may have materialized quickly.</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Flexibility:</w:t>
      </w:r>
      <w:r>
        <w:rPr>
          <w:color w:val="000000"/>
        </w:rPr>
        <w:t xml:space="preserve"> </w:t>
      </w:r>
      <w:r>
        <w:rPr>
          <w:rFonts w:ascii="Arial;sans-serif" w:hAnsi="Arial;sans-serif"/>
          <w:b w:val="false"/>
          <w:color w:val="000000"/>
          <w:sz w:val="18"/>
        </w:rPr>
        <w:t>flexible assembly design allows modular space units to be built to suit a customer’s needs while offering customers the ability to adjust their space as their needs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16"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Cost effectiveness:</w:t>
      </w:r>
      <w:r>
        <w:rPr>
          <w:color w:val="000000"/>
        </w:rPr>
        <w:t xml:space="preserve"> </w:t>
      </w:r>
      <w:r>
        <w:rPr>
          <w:rFonts w:ascii="Arial;sans-serif" w:hAnsi="Arial;sans-serif"/>
          <w:b w:val="false"/>
          <w:color w:val="000000"/>
          <w:sz w:val="18"/>
        </w:rPr>
        <w:t>modular space units provide a cost-effective solution for temporary and permanent space requirements and allow customers to improve returns on capital in their core business.</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Quality:</w:t>
      </w:r>
      <w:r>
        <w:rPr>
          <w:color w:val="000000"/>
        </w:rPr>
        <w:t xml:space="preserve"> </w:t>
      </w:r>
      <w:r>
        <w:rPr>
          <w:rFonts w:ascii="Arial;sans-serif" w:hAnsi="Arial;sans-serif"/>
          <w:b w:val="false"/>
          <w:color w:val="000000"/>
          <w:sz w:val="18"/>
        </w:rPr>
        <w:t>the pre-fabrication of modular space units is based on a repeatable process in a controlled environment, resulting in more consistent quality.</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 xml:space="preserve">Mobility: </w:t>
      </w:r>
      <w:r>
        <w:rPr>
          <w:rFonts w:ascii="Arial;sans-serif" w:hAnsi="Arial;sans-serif"/>
          <w:b w:val="false"/>
          <w:color w:val="000000"/>
          <w:sz w:val="18"/>
        </w:rPr>
        <w:t>modular space units can easily be disassembled, transported to a new location and re-assembled.</w:t>
      </w:r>
    </w:p>
    <w:p>
      <w:pPr>
        <w:pStyle w:val="TextBody"/>
        <w:bidi w:val="0"/>
        <w:spacing w:lineRule="auto" w:line="288" w:before="0" w:after="120"/>
        <w:ind w:left="0" w:right="0" w:hanging="360"/>
        <w:jc w:val="both"/>
        <w:rPr/>
      </w:pPr>
      <w:r>
        <w:rPr>
          <w:color w:val="000000"/>
        </w:rPr>
        <w:t>•</w:t>
      </w:r>
      <w:r>
        <w:rPr>
          <w:rFonts w:ascii="Arial;sans-serif" w:hAnsi="Arial;sans-serif"/>
          <w:b/>
          <w:i/>
          <w:color w:val="000000"/>
          <w:sz w:val="18"/>
        </w:rPr>
        <w:t>Environmentally friendly:</w:t>
      </w:r>
      <w:r>
        <w:rPr>
          <w:color w:val="000000"/>
        </w:rPr>
        <w:t xml:space="preserve"> </w:t>
      </w:r>
      <w:r>
        <w:rPr>
          <w:rFonts w:ascii="Arial;sans-serif" w:hAnsi="Arial;sans-serif"/>
          <w:b w:val="false"/>
          <w:color w:val="000000"/>
          <w:sz w:val="18"/>
        </w:rPr>
        <w:t>relocatable buildings promote the reuse of facilities, on an as-needed basis, by the occupants, and leave no residual footprint once removed.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Portable Storage Market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portable storage market, like the modular space market, is highly fragmented and remains primarily local in nature. Portable storage units are typically ground</w:t>
        <w:noBreakHyphen/>
        <w:t>level entry, windowless storage containers made of heavy exterior metals for secure storage and water tightness. Portable storage units can be built to specification or can be remanufactured from existing storage products, such as ISO shipping containers. Remanufacturing typically involves cleaning, removing rust and dents, repairing floors and sidewalls, painting, and adding company logos or signs, and may include further customization by adding our proprietary easy opening door system and our patented Tri</w:t>
        <w:noBreakHyphen/>
        <w:t>Cam Locking System®. Portable storage units also include climate-controlled storage containers, walk-in freezers, refrigerated storage trailers and dock-height refrigerated trailers.</w:t>
      </w:r>
    </w:p>
    <w:p>
      <w:pPr>
        <w:pStyle w:val="TextBody"/>
        <w:bidi w:val="0"/>
        <w:spacing w:lineRule="auto" w:line="276"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Portable storage units continue to find new applications as business needs change and develop. Demand for portable storage is driven by a number of factors, including:</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 xml:space="preserve">Versatility: </w:t>
      </w:r>
      <w:r>
        <w:rPr>
          <w:rFonts w:ascii="Arial;sans-serif" w:hAnsi="Arial;sans-serif"/>
          <w:b w:val="false"/>
          <w:color w:val="000000"/>
          <w:sz w:val="18"/>
        </w:rPr>
        <w:t>portable storage units can be easily customized to suit customer specifications. While standard applications include locking double</w:t>
        <w:noBreakHyphen/>
        <w:t>door systems to facilitate loading, custom entrances, such as rolling or sliding doors, can be added for personnel access. Units can also be outfitted with partitions, ramps, lighting, shelving and other interior organizational solutions, including PRORACK™, our innovative complete system of sturdy, readily movable surfaces that can increase the capacity and functionality of our products.</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 xml:space="preserve">Affordability: </w:t>
      </w:r>
      <w:r>
        <w:rPr>
          <w:rFonts w:ascii="Arial;sans-serif" w:hAnsi="Arial;sans-serif"/>
          <w:b w:val="false"/>
          <w:color w:val="000000"/>
          <w:sz w:val="18"/>
        </w:rPr>
        <w:t>portable storage provides customers with a flexible and low</w:t>
        <w:noBreakHyphen/>
        <w:t>cost storage alternative to permanent warehouse space and fixed</w:t>
        <w:noBreakHyphen/>
        <w:t>site self</w:t>
        <w:noBreakHyphen/>
        <w:t>storage.</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 xml:space="preserve">Safety: </w:t>
      </w:r>
      <w:r>
        <w:rPr>
          <w:rFonts w:ascii="Arial;sans-serif" w:hAnsi="Arial;sans-serif"/>
          <w:b w:val="false"/>
          <w:color w:val="000000"/>
          <w:sz w:val="18"/>
        </w:rPr>
        <w:t>units can be easily outfitted with fire and water</w:t>
        <w:noBreakHyphen/>
        <w:t>resistant surfaces and materials. ISO containers are often wind and leak</w:t>
        <w:noBreakHyphen/>
        <w:t>proof by virtue of their uses in logistics and shipping. Nearly all units are made from steel, which is a low</w:t>
        <w:noBreakHyphen/>
        <w:t>cost, durable material.</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 xml:space="preserve">Security: </w:t>
      </w:r>
      <w:r>
        <w:rPr>
          <w:rFonts w:ascii="Arial;sans-serif" w:hAnsi="Arial;sans-serif"/>
          <w:b w:val="false"/>
          <w:color w:val="000000"/>
          <w:sz w:val="18"/>
        </w:rPr>
        <w:t>a variety of enhanced locking mechanisms are available for portable storage units, including our patented Tri</w:t>
        <w:noBreakHyphen/>
        <w:t>Cam Locking System® and ContainerGuardLock®. These features offer additional protection for high</w:t>
        <w:noBreakHyphen/>
        <w:t>value goods and inventory.</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 xml:space="preserve">Convenience: </w:t>
      </w:r>
      <w:r>
        <w:rPr>
          <w:rFonts w:ascii="Arial;sans-serif" w:hAnsi="Arial;sans-serif"/>
          <w:b w:val="false"/>
          <w:color w:val="000000"/>
          <w:sz w:val="18"/>
        </w:rPr>
        <w:t>portable storage units provide immediate ground</w:t>
        <w:noBreakHyphen/>
        <w:t>level access for consumers and can be easily transported in large quantities via truck, rail, or cargo ship to their job site, facility, retail location, or office site.</w:t>
      </w:r>
    </w:p>
    <w:p>
      <w:pPr>
        <w:pStyle w:val="TextBody"/>
        <w:bidi w:val="0"/>
        <w:spacing w:lineRule="auto" w:line="288" w:before="0" w:after="120"/>
        <w:ind w:left="0" w:right="0" w:hanging="360"/>
        <w:jc w:val="both"/>
        <w:rPr/>
      </w:pPr>
      <w:r>
        <w:rPr>
          <w:color w:val="000000"/>
        </w:rPr>
        <w:t>•</w:t>
      </w:r>
      <w:r>
        <w:rPr>
          <w:rFonts w:ascii="Arial;sans-serif" w:hAnsi="Arial;sans-serif"/>
          <w:b/>
          <w:i/>
          <w:color w:val="000000"/>
          <w:sz w:val="18"/>
        </w:rPr>
        <w:t xml:space="preserve">Aesthetics: </w:t>
      </w:r>
      <w:r>
        <w:rPr>
          <w:rFonts w:ascii="Arial;sans-serif" w:hAnsi="Arial;sans-serif"/>
          <w:b w:val="false"/>
          <w:color w:val="000000"/>
          <w:sz w:val="18"/>
        </w:rPr>
        <w:t>portable storage units can be easily painted and decorated with company colors and logos and are less conspicuous than other portable storage alternatives.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Other Related Markets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the normal course of providing our “Ready to Work” solutions, we perform services that are characteristic of activities in other industries. For example, we coordinate a broad network of third-party and in-house transportation and service resources to support the timely movement of our products to, as well as maintenance on, customer sites. Additionally, we design, source, lease, and maintain a broad offering of ancillary products, including furniture, which render our modular and storage units immediately functional in support of our customers’ needs. We have developed networks of third</w:t>
        <w:noBreakHyphen/>
        <w:t>party service providers that we coordinate to expand the breadth of capabilities that our customers can source through us. These third</w:t>
        <w:noBreakHyphen/>
        <w:t>party</w:t>
        <w:noBreakHyphen/>
        <w:t>managed services represent incremental revenue and margin opportunities for us and simplify the number of vendor touchpoints for our customers.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We also provide technical expertise and oversight for customers regarding building design and permitting, site preparation, and expansion or contraction of installed space based on changes in project requirements. Further, we have the capability to compete in adjacent markets, such as other job site services, facilities management, logistics, and others that are natural extensions of our temporary commercial space capabilities. We believe that this broad service capability differentiates us from other commercial space rental and service providers and is a competitive advantage in the marketplace.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Competition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Although our competition varies significantly by local market, the temporary space industry is highly competitive and fragmented as a whole. We believe that participants in our industry compete based on of customer relationships, product quality and availability, delivery speed, VAPS and service capabilities, pricing and overall ease of doing business. We typically compete with one or more local providers in all of our markets, as well as with a limited number of national and regional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17"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competitors include lessors of storage units, mobile offices, and other structures used for portable storage, as well as traditional commercial office space and conventional fixed self-storage facilities. Some of our competitors may have greater market share in certain geographic regions. Significant competitors include McGrath RentCorp, United Rentals, ATCO Structures &amp; Logistics, and Satellite Shelters. Numerous other regional and local companies compete across the markets that we serve.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Our Business and Growth Strategies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intend to maintain a leading market position and increase our revenue and profitability by pursuing the following strategies, all of which we have demonstrated in our historical operating performance: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Expand Penetration of Value-Added Products and Services ("VAPS")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VAPS have been a prominent growth driver in our business for almost a decade. We believe this growth opportunity could be substantially larger if we successfully penetrate more of our modular space and portable storage units and continue to expand our VAPS offerings through new product introductions.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Optimize Rate Across Fleet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continue to advance multiple pricing strategies, customer segmentation, and contract standardization across our fleet to drive revenue growth. Our long history of success, demonstrated by 25 consecutive quarters of double-digit rate growth as of December 31, 2023 in the US within our Modular segment, gives us confidence that we can continue to successfully deploy this strategy. The turnover of our fleet, with average lease durations of approximately three years, creates natural and reoccurring opportunities to capture incremental price increases. As the market leader in our industry, we offer the broadest fleet portfolio, the most differentiated turnkey VAPS, and the most consistent service capabilities across the largest branch network to help our customers be 'Ready to Work'.</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Enhance Market Penetration Between Segments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combination of WillScot and Mobile Mini through the Merger created a leading business services provider specializing in innovative flexible workspace and portable storage solutions. At the time of the Merger, we recognized that there was 80% end-market overlap and 40% customer overlap, a clear strategic opportunity for our complementary product lines. By offering a combined product suite, we simplify our customers' procurement needs and enable productivity from start to finish for projects. We believe cross-selling will continue to increase utilization and yield of our combined fleet.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sales force is optimally positioned to improve efficiency by leveraging our management information systems and using real-time information to monitor and optimize conversion of customer opportunities across our core segments. During 2022 and 2023, we made significant investments in our CRM software platform, moving from our legacy WillScot and Mobile Mini CRM instances into one new, consolidated CRM platform. Starting in February 2023, our US and Canadian Modular and Storage teams began to operate in a single CRM system which provides greater visibility into our customer base and enhances our ability to cross-sell our portfolio of products to our customers. We believe this investment will significantly accelerate our market share convergence as well as increase penetration of our VAPS, while enhancing customer satisfaction. In turn, we expect that our broadened and enhanced fleet will attract new customers, increase customer retention, and increase margins and return on invested capital.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Generate Cash Flow Through Operational Efficiencies, Cost Reductions, and Technology</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are implementing many initiatives designed to improve operations and increase profitability. We continually assess our branch operating footprint, vendor base, and operating structure to maximize revenue generation while minimizing costs. We believe the increased scale, numerous operational best practices, and state-of-the-art SAP ERP platform provided by the Merger, as well as the new, consolidated CRM platform will significantly improve our operating efficiency over time. To improve our logistics capabilities, in 2024 we plan to implement a consolidated logistics platform and algorithm-based route optimization processes to minimize mileage, fuel cost and emissions. With a single ERP and CRM platform in place and a single logistics platform on the horizon, we have assessed our field management structure and in 2024 will be unifying our go-to-market approach for our modular and storage businesses to a single field sales and operations management structure where all modular and storage products will be managed by a unified team in each local market. We believe this new structure will allow us to cross-sell our various products more effectively by being closer to our customers in each geographical market, improve operations through sharing of logistics and service capabilities, and provide increased opportunities for our employees for career development and growth as we continue to expand our product offerings and services.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Leverage Scale and Organic Initiatives with Accretive Acquisitions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markets for modular space and portable storage solutions are fragmented. We estimate that approximately 50% of the modular market and approximately 70% of the portable storage market in North America are supplied by regional and local competitors. We believe we have the broadest network of operating branches in North America, as well as a scalable corporate center and information technology systems, which position us to continue to acquire and integrate other companies while expanding the products and services available and offered to acquired customers. During 2023, we acquired a U.S. national provider of cold storage solutions, which consisted primarily of approximately 2,200 climate-controlled containers and refrigerated storage trailers, a regional modular space manufacturing and leasing business, which consisted primarily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18"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approximately 1,300 modular leasing units, and a U.S. national provider of premium large clearspan structures. We also continued our programmatic tuck-in strategy and acquired certain assets and liabilities of five smaller entities in 2023, which consisted primarily of approximately 1,800 storage units and 700 modular units. We expect to pursue acquisitions opportunistically that will provide further scale efficiencies and allow us to improve returns generated by the acquired assets. We have a proven track record of efficiently integrating acquisitions and quickly eliminating operational redundancies while maintaining acquired customer relationships.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Deploy Capital to Strategically Support Organic Growth and Optimize Returns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maintain a disciplined focus on our return on capital and invest opportunistically across multiple uniquely attractive asset classes, prioritizing our investments to where we see the strongest potential returns. We continually assess both our existing lease fleet and customer demand for opportunities to deploy capital more efficiently. We manage our maintenance capex and growth capex to align with the economic conditions in which we operate. Within our existing lease fleet, we examine the potential cash and earnings generation of an asset sale versus continuing to lease the asset. In addition, we examine the relative benefits of organic expansion opportunities versus expansion through acquisition to obtain a favorable return on capital.</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Use Free Cash Flow to Drive Value Creation</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Our Free Cash Flow generation has accelerated rapidly in recent years, and we expect this trend to continue as we execute our strategy. While we see numerous organic and inorganic opportunities to re-invest in our core businesses, we believe we can generate surplus Free Cash Flow with which we can both reduce leverage and return capital to shareholders over time. We view this as an additional powerful value creation lever, and we are committed to deploying this capital as productively as possible in the interests of our shareholders.</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Human Capital Management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of December 31, 2023, we employed approximately 5,000 people in North America (the US, Canada and Mexico), the majority of whom are full time. Approximately 77% of employees work in our approximately 250 branch locations, while 23% of employees serve in various corporate functions. We have not experienced a strike or significant work stoppage, and we consider our relations with our employees to be good.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The Compensation Committee of our Board of Directors ("Board of Directors" or "Board") is responsible for providing oversight of our human capital strategy. Our</w:t>
      </w:r>
      <w:r>
        <w:rPr>
          <w:color w:val="000000"/>
        </w:rPr>
        <w:t xml:space="preserve"> </w:t>
      </w:r>
      <w:r>
        <w:rPr>
          <w:rFonts w:ascii="Arial;sans-serif" w:hAnsi="Arial;sans-serif"/>
          <w:b w:val="false"/>
          <w:color w:val="000000"/>
          <w:sz w:val="18"/>
        </w:rPr>
        <w:t>Executive Vice President and Chief Human Resources Officer leads the execution of the Company's human capital strategy, in collaboration with our executive leadership team, to align human capital resources with our strategic objectives. This includes</w:t>
      </w:r>
      <w:r>
        <w:rPr>
          <w:color w:val="000000"/>
          <w:shd w:fill="FFFFFF" w:val="clear"/>
        </w:rPr>
        <w:t xml:space="preserve"> </w:t>
      </w:r>
      <w:r>
        <w:rPr>
          <w:rFonts w:ascii="Arial;sans-serif" w:hAnsi="Arial;sans-serif"/>
          <w:b w:val="false"/>
          <w:color w:val="000000"/>
          <w:sz w:val="18"/>
          <w:shd w:fill="FFFFFF" w:val="clear"/>
        </w:rPr>
        <w:t xml:space="preserve">optimizing human resources ("HR") delivery through talent acquisition, compensation and benefits and initiatives for inclusion, diversity, equity and accessibility. In 2023, we implemented an HR Excellence function to enhance our focus on HR technology and business processes while continuing to build upon key initiatives in employee communications and engagement. </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Whether in our operational or commercial teams at branch locations or onsite with customers, or in our shared services and corporate function teams,</w:t>
      </w:r>
      <w:r>
        <w:rPr>
          <w:color w:val="000000"/>
        </w:rPr>
        <w:t xml:space="preserve"> </w:t>
      </w:r>
      <w:r>
        <w:rPr>
          <w:rFonts w:ascii="Arial;sans-serif" w:hAnsi="Arial;sans-serif"/>
          <w:b w:val="false"/>
          <w:color w:val="000000"/>
          <w:sz w:val="18"/>
        </w:rPr>
        <w:t>we believe our people give WillScot Mobile Mini a competitive advantage in the industry. That differentiation begins with o</w:t>
      </w:r>
      <w:r>
        <w:rPr>
          <w:rFonts w:ascii="Arial;sans-serif" w:hAnsi="Arial;sans-serif"/>
          <w:b w:val="false"/>
          <w:color w:val="000000"/>
          <w:sz w:val="18"/>
          <w:shd w:fill="FFFFFF" w:val="clear"/>
        </w:rPr>
        <w:t xml:space="preserve">ur values. Our Company values are lived through our employees, </w:t>
      </w:r>
      <w:r>
        <w:rPr>
          <w:rFonts w:ascii="Arial;sans-serif" w:hAnsi="Arial;sans-serif"/>
          <w:b w:val="false"/>
          <w:color w:val="000000"/>
          <w:sz w:val="18"/>
        </w:rPr>
        <w:t xml:space="preserve">acknowledged by our vendors and aligned to the needs of our customers and communities. Our values provide the basis of our approach to human capital management as well as how we treat our stakeholders.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Company Values</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Dedicated to Health &amp; Safety:</w:t>
      </w:r>
      <w:r>
        <w:rPr>
          <w:color w:val="000000"/>
        </w:rPr>
        <w:t xml:space="preserve"> </w:t>
      </w:r>
      <w:r>
        <w:rPr>
          <w:rFonts w:ascii="Arial;sans-serif" w:hAnsi="Arial;sans-serif"/>
          <w:b w:val="false"/>
          <w:color w:val="000000"/>
          <w:sz w:val="18"/>
        </w:rPr>
        <w:t xml:space="preserve">We take responsibility for our own well-being and for those around us. Health and safety are first, last and everything in-between. </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Committed to Inclusion &amp; Diversity:</w:t>
      </w:r>
      <w:r>
        <w:rPr>
          <w:color w:val="000000"/>
        </w:rPr>
        <w:t xml:space="preserve"> </w:t>
      </w:r>
      <w:r>
        <w:rPr>
          <w:rFonts w:ascii="Arial;sans-serif" w:hAnsi="Arial;sans-serif"/>
          <w:b w:val="false"/>
          <w:color w:val="000000"/>
          <w:sz w:val="18"/>
        </w:rPr>
        <w:t>We are stronger together when we celebrate our differences and strive for inclusiveness. We encourage collaboration and support the diverse voices and thoughts of our employees and communities.</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Driven to Excellence:</w:t>
      </w:r>
      <w:r>
        <w:rPr>
          <w:color w:val="000000"/>
        </w:rPr>
        <w:t xml:space="preserve"> </w:t>
      </w:r>
      <w:r>
        <w:rPr>
          <w:rFonts w:ascii="Arial;sans-serif" w:hAnsi="Arial;sans-serif"/>
          <w:b w:val="false"/>
          <w:color w:val="000000"/>
          <w:sz w:val="18"/>
        </w:rPr>
        <w:t xml:space="preserve">We measure success through our results and the achievement of our goals. We continuously improve ourselves, our products and services in pursuit of shareholder value. </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Trustworthy &amp; Reliable:</w:t>
      </w:r>
      <w:r>
        <w:rPr>
          <w:color w:val="000000"/>
        </w:rPr>
        <w:t xml:space="preserve"> </w:t>
      </w:r>
      <w:r>
        <w:rPr>
          <w:rFonts w:ascii="Arial;sans-serif" w:hAnsi="Arial;sans-serif"/>
          <w:b w:val="false"/>
          <w:color w:val="000000"/>
          <w:sz w:val="18"/>
        </w:rPr>
        <w:t>We hold ourselves accountable to do the right thing, especially when nobody's looking.</w:t>
      </w:r>
    </w:p>
    <w:p>
      <w:pPr>
        <w:pStyle w:val="TextBody"/>
        <w:bidi w:val="0"/>
        <w:spacing w:lineRule="auto" w:line="288" w:before="0" w:after="60"/>
        <w:ind w:left="0" w:right="0" w:hanging="360"/>
        <w:jc w:val="both"/>
        <w:rPr/>
      </w:pPr>
      <w:r>
        <w:rPr>
          <w:color w:val="000000"/>
        </w:rPr>
        <w:t>•</w:t>
      </w:r>
      <w:r>
        <w:rPr>
          <w:rFonts w:ascii="Arial;sans-serif" w:hAnsi="Arial;sans-serif"/>
          <w:b/>
          <w:i/>
          <w:color w:val="000000"/>
          <w:sz w:val="18"/>
        </w:rPr>
        <w:t>Devoted to Our Customers:</w:t>
      </w:r>
      <w:r>
        <w:rPr>
          <w:color w:val="000000"/>
        </w:rPr>
        <w:t xml:space="preserve"> </w:t>
      </w:r>
      <w:r>
        <w:rPr>
          <w:rFonts w:ascii="Arial;sans-serif" w:hAnsi="Arial;sans-serif"/>
          <w:b w:val="false"/>
          <w:color w:val="000000"/>
          <w:sz w:val="18"/>
        </w:rPr>
        <w:t>We anticipate the growing needs of our customers, exceed their expectations and make it easy to do business with us.</w:t>
      </w:r>
    </w:p>
    <w:p>
      <w:pPr>
        <w:pStyle w:val="TextBody"/>
        <w:bidi w:val="0"/>
        <w:spacing w:lineRule="auto" w:line="288" w:before="0" w:after="120"/>
        <w:ind w:left="0" w:right="0" w:hanging="360"/>
        <w:jc w:val="both"/>
        <w:rPr/>
      </w:pPr>
      <w:r>
        <w:rPr>
          <w:color w:val="000000"/>
        </w:rPr>
        <w:t>•</w:t>
      </w:r>
      <w:r>
        <w:rPr>
          <w:rFonts w:ascii="Arial;sans-serif" w:hAnsi="Arial;sans-serif"/>
          <w:b/>
          <w:i/>
          <w:color w:val="000000"/>
          <w:sz w:val="18"/>
        </w:rPr>
        <w:t>Community Focused:</w:t>
      </w:r>
      <w:r>
        <w:rPr>
          <w:color w:val="000000"/>
        </w:rPr>
        <w:t xml:space="preserve"> </w:t>
      </w:r>
      <w:r>
        <w:rPr>
          <w:rFonts w:ascii="Arial;sans-serif" w:hAnsi="Arial;sans-serif"/>
          <w:b w:val="false"/>
          <w:color w:val="000000"/>
          <w:sz w:val="18"/>
        </w:rPr>
        <w:t>We actively engage in the communities we serve and deliver sustainable solutions.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employee value proposition begins with our Dedication to Health &amp; Safety. We take responsibility for our own well-being and those around us. Wherever our employees are in life’s journey, we support physical well-being, financial well-being and emotional well-being through a range of programs and initiatives to support our employees and their families to Be Well.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19"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Physical Well-being</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provide comprehensive medical benefits to all US-based employees, whether hourly or salaried. Core healthcare coverage includes medical, dental and vision benefits. We offer high-deductible healthcare plans to all eligible employees to promote positive consumer behaviors, and we pay an average of 75% of the cost of employee premiums. Through Health Savings Accounts (“HSA”) contributions, we cover between 35% and 50% of employee deductibles. We also provide paid parental leave. Additional programs include voluntary supplemental medical benefits, employer-paid short- and long-term disability and basic life and AD&amp;D, legal and ID theft, home and auto, and pet insurance. Recognizing that physical well-being is a journey, we also offer additional medical plan benefits including family planning support for fertility treatment, adoption and surrogacy, and personalized care for chronic conditions including diabetes and back, joint and muscle pain.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 xml:space="preserve">Financial Well-being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Providing financial security for our employees is critical to overall well-being. Approximately 90% of employees participate in our 401(k) retirement savings program, which includes a company match up to 4.5% on the first 6% of an employee’s contribution. We matched $14.1 million in 401(k) contributions in 2023. We also offer several educational services employees can use to strengthen their financial acumen.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supporting employees’ long-term financial security, we employ market-based pay practices to ensure fair, competitive wages at every level of the organization. We use compensation benchmarking data from human capital consulting firms to set and maintain pay ranges and pay levels in line with market-based standards. We also administer multiple incentive pay plans designed to motivate and reward eligible employees commensurate with Company performance. Incentives may be either individually based (sales commissions), group-based (regional performance bonuses), or Company-based (corporate and executive employees).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 xml:space="preserve">Emotional Well-being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Caring for the emotional well-being of our employees means offering programs that meet a diverse range of work-life needs. Our Employee Assistance Program ("EAP") provides both mental health access and practical support for personal needs. From short-term counseling to clinical support for anxiety, depression and stress-related issues or substance abuse, our EAP enables our employees to access the care they need. Employees and members of their household can also access financial experts and legal guidance for help including retirement planning, tax assistance, wills and trusts and family law matters.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 xml:space="preserve">Inclusion, Diversity, Equity and Accessibility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Our commitment to inclusion at all levels of the organization is amplified by our Inclusiveness Resource Teams (“IRTs”): Women of WSMM (“WOW"), Black Organization for Leadership &amp; Direction (“BOLD”), Veterans United, Hispanos, and People Respecting that Identity and Sexuality Matters (“PRISM”). IRTs are voluntary, employee-led groups that work to foster an inclusive and diverse workplace aligned with our values and strategy. These groups were established to support our employees from specific demographic groups and their allies, to provide opportunities for development and sharing the lived experiences of our employees. We are stronger together when we celebrate our differences and strive for inclusiveness. Our IRTs encourage collaboration and support the diverse voices and thoughts of our employees and communities.</w:t>
      </w:r>
    </w:p>
    <w:p>
      <w:pPr>
        <w:pStyle w:val="TextBody"/>
        <w:bidi w:val="0"/>
        <w:spacing w:lineRule="auto" w:line="288" w:before="0" w:after="60"/>
        <w:jc w:val="both"/>
        <w:rPr/>
      </w:pPr>
      <w:r>
        <w:rPr>
          <w:rFonts w:ascii="Arial;sans-serif" w:hAnsi="Arial;sans-serif"/>
          <w:b/>
          <w:i/>
          <w:color w:val="000000"/>
          <w:sz w:val="18"/>
        </w:rPr>
        <w:t>Learning and Development</w:t>
      </w:r>
      <w:r>
        <w:rPr>
          <w:color w:val="000000"/>
        </w:rPr>
        <w:t xml:space="preserv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measure success through our results and the achievement of our goals. We continuously improve ourselves, our products and services in pursuit of shareholder value. In 2023, our employees completed more than 27,000 hours of training across a range of courses dedicated to compliance, safety and job-related learning and skill development. Our learning and development system houses a library of more than 6,000 courses. We also offer a language learning program and tuition reimbursement to increase access to skills associated with social determinants of health.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Driver Apprentice Program provides developmental opportunities for individuals interested in becoming a Commercial Driver’s License Class A driver for the Company. Our foundational leadership development program (“LDP”) enrolls an average of 70 participants annually. We also host multiple in-person training events throughout the course of the year to connect employees to our strategic priorities and their career development goals. </w:t>
      </w:r>
    </w:p>
    <w:p>
      <w:pPr>
        <w:pStyle w:val="TextBody"/>
        <w:bidi w:val="0"/>
        <w:spacing w:lineRule="auto" w:line="288" w:before="0" w:after="60"/>
        <w:jc w:val="left"/>
        <w:rPr>
          <w:rFonts w:ascii="Arial;sans-serif" w:hAnsi="Arial;sans-serif"/>
          <w:b/>
          <w:i/>
          <w:color w:val="000000"/>
          <w:sz w:val="18"/>
        </w:rPr>
      </w:pPr>
      <w:r>
        <w:rPr>
          <w:rFonts w:ascii="Arial;sans-serif" w:hAnsi="Arial;sans-serif"/>
          <w:b/>
          <w:i/>
          <w:color w:val="000000"/>
          <w:sz w:val="18"/>
        </w:rPr>
        <w:t xml:space="preserve">Community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are community focused – we actively engage in the communities we serve and deliver sustainable solutions. Our employees participate in pro-social giving through our “Give Where You Live” program and giving their time, talent and/or treasure to local non-profit organizations. We provide employees up to 16 hours per year in volunteer paid time off to participate in “Give Where You Live”.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to giving directly to charitable organizations that are meaningful to our employees and the communities we serve, we have national, non-profit partnerships with certain 501(c)3 organizations in our core causes of Shelter, Hunger, Education and Health &amp; Wellness. Through these partnerships, our employees participate in build days with Habitat for Humanity, food bank volunteering with Feeding America and St. Mary’s Food Bank, blood drives and emergency response initiatives with the American Red Cross, and work readiness and financial literacy programs with Junior Achievement.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20"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left"/>
        <w:rPr>
          <w:rFonts w:ascii="Arial;sans-serif" w:hAnsi="Arial;sans-serif"/>
          <w:b/>
          <w:i/>
          <w:color w:val="000000"/>
          <w:sz w:val="18"/>
        </w:rPr>
      </w:pPr>
      <w:r>
        <w:rPr>
          <w:rFonts w:ascii="Arial;sans-serif" w:hAnsi="Arial;sans-serif"/>
          <w:b/>
          <w:i/>
          <w:color w:val="000000"/>
          <w:sz w:val="18"/>
        </w:rPr>
        <w:t xml:space="preserve">Compliance and Risk Mitigation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Being trustworthy and reliable means, we hold ourselves accountable to do the right thing, especially when nobody is looking. Initiatives that the Company has implemented to maintain the highest level of professionalism and integrity include annual compliance training that focuses on the applicable cybersecurity, data privacy, legal and regulatory requirements needed to maintain a high level of security and risk standards. Employees also receive phishing simulation tests approximately once every six months and supplemental IT training on a quarterly basis. Additionally, the new hire onboarding process covers cybersecurity and data safety training for all employees. When we source talent through external sources for skilled trades, sales associates, and professional staff, we retain reputable recruiting firms that perform background checks as part of our new hire process.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Environmental, Social and Governance ("ESG")</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are committed to upholding high standards when it comes to our environmental, social and governance responsibilities, as well as the safety of our employees and our business partners. These commitments began with a comprehensive review of the industry landscape, which laid the groundwork for an industrial circular economy powered by our customer-focused innovation and our talented workforce. As the leader in innovative and flexible temporary space solutions, our approach to ESG seeks to balance short-term and long-term solutions and considers the interests of our stakeholders in our everyday actions. The principal products we provide to our customers are long-lived, reusable and relocatable, while producing minimal waste. For decades, we have committed ourselves to circular economic practices to reuse as many of our assets as possible.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Board of Directors, at the direction of our Nominating and Corporate Governance Committee, is actively involved in the development of our ESG strategy and approach. With their guidance, in 2020, we conducted an assessment of our readiness to pursue an ESG strategy with the goal of determining our focus areas. In late 2021, we rolled out our formal ESG strategy at our Investor Day, called “Deliver Opportunity.” In 2022, we formalized our ESG strategy around key aspects ingrained in our values such as built-in sustainability, team safety, community focus and inclusion and diversity. In 2023, we continued to execute on the five pillars that make up our ESG strategy: environmental responsibility, sustainable solutions for customers, effective governance, empowering our people, and community impact.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business is managed for long-term success in a manner that we believe is economically, environmentally and socially responsible, and our ESG efforts are focused in areas where we see tangible business impact. Over the next several years, we will continue to focus on ensuring a future where the communities in which we operate and customers we support can thrive.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formalizing our own ESG framework, we analyzed our business and identified priority opportunities that enable positive impact, including alignment with disclosure frameworks and guiding principles, such as the U.N. Sustainable Development Goals and the recommendations from the Task Force on Climate-Related Financial Disclosures.</w:t>
      </w:r>
    </w:p>
    <w:p>
      <w:pPr>
        <w:pStyle w:val="TextBody"/>
        <w:bidi w:val="0"/>
        <w:spacing w:lineRule="auto" w:line="288" w:before="0" w:after="60"/>
        <w:jc w:val="left"/>
        <w:rPr>
          <w:rFonts w:ascii="Arial;sans-serif" w:hAnsi="Arial;sans-serif"/>
          <w:b/>
          <w:i/>
          <w:color w:val="000000"/>
          <w:sz w:val="18"/>
        </w:rPr>
      </w:pPr>
      <w:r>
        <w:rPr>
          <w:rFonts w:ascii="Arial;sans-serif" w:hAnsi="Arial;sans-serif"/>
          <w:b/>
          <w:i/>
          <w:color w:val="000000"/>
          <w:sz w:val="18"/>
        </w:rPr>
        <w:t>Environmental</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 xml:space="preserve">Circular Business Model </w:t>
      </w:r>
    </w:p>
    <w:p>
      <w:pPr>
        <w:pStyle w:val="TextBody"/>
        <w:bidi w:val="0"/>
        <w:spacing w:lineRule="auto" w:line="288" w:before="0" w:after="60"/>
        <w:ind w:left="0" w:right="0" w:firstLine="360"/>
        <w:jc w:val="both"/>
        <w:rPr>
          <w:rFonts w:ascii="Arial;sans-serif" w:hAnsi="Arial;sans-serif"/>
          <w:b w:val="false"/>
          <w:color w:val="000000"/>
          <w:sz w:val="18"/>
        </w:rPr>
      </w:pPr>
      <w:r>
        <w:rPr>
          <w:rFonts w:ascii="Arial;sans-serif" w:hAnsi="Arial;sans-serif"/>
          <w:b w:val="false"/>
          <w:color w:val="000000"/>
          <w:sz w:val="18"/>
        </w:rPr>
        <w:t>Our business model is inherently sustainable as it is centered around minimizing waste and maximizing resource efficiency by prioritizing the reuse and refurbishment of manufactured products and materials. We continue to strengthen and expand our environmentally sustainable practices to reduce our impact on the planet. We are minimizing our resource use and increasing our energy efficiency through circular solutions, fleet optimization, and greenhouse gas ("GHG") emission and waste characterization studies that help us identify and understand other areas of opportunity. These initial and critical steps provide quantifiable metrics enabling us to benchmark and prioritize our efforts for future improvements and to continually bolster our circular economic approach with our space solutions.</w:t>
      </w:r>
    </w:p>
    <w:p>
      <w:pPr>
        <w:pStyle w:val="TextBody"/>
        <w:bidi w:val="0"/>
        <w:spacing w:lineRule="auto" w:line="288" w:before="0" w:after="6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We lease temporary space solutions which are reusable, reconfigurable, relocatable, and repurposed or recycled. We also maintain, repair, and reuse our value added products and services (“VAPS”) packages, which are used to outfit an office, classroom or even a media room for events. This not only promotes the mindset of circularity, but it also obviates the need for single-use purchases of new materials, additional transportation of those products, and disposal at the end of projects. We have industry-leading refurbishment capabilities for our units and VAPS which allow these assets to cycle through different customers, typically seven times over their 20-year lifetime with a minimal refresh before each new cycle. Typically, in the second half of the product’s life, we complete a full refurbishment, which can extend the asset life by another 10 years, allowing many of our modular units to be in service for 30 years. With the cost of a full refurbishment at only 20-30% of the cost of a new unit, it’s more capital efficient to refurbish our units and reduce the environmental impact of extracting raw materials to build new ones. The reuse and refurbishment of assets results in a lower embodied carbon for the units and helps mitigate climate impact.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innovative panelized product, FLEX, can be re-configured and reused significantly reducing labor and material waste resulting in our most efficient and environmentally friendly product. FLEX provides customized configurations that allow for stacking up to three stories and connection end to end allowing for use in tighter spaces. Due to its modularity, workspaces such as FLEX can quantifiably outperform traditional units in several key areas, including energy efficiency through the use of motion activated LED lighting, lower GHG emissions, less waste and material use and increased recycling.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21"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360"/>
        <w:jc w:val="both"/>
        <w:rPr/>
      </w:pPr>
      <w:r>
        <w:rPr>
          <w:rFonts w:ascii="Arial;sans-serif" w:hAnsi="Arial;sans-serif"/>
          <w:b w:val="false"/>
          <w:color w:val="000000"/>
          <w:sz w:val="18"/>
        </w:rPr>
        <w:t>We also have world class modernization solutions to support our storage assets, which we can acquire as end-of-life shipping containers and put into service as storage units. Further, we offer innovative systems for space optimization, such as our PRORACK</w:t>
      </w:r>
      <w:r>
        <w:rPr>
          <w:rFonts w:ascii="Arial;sans-serif" w:hAnsi="Arial;sans-serif"/>
          <w:b w:val="false"/>
          <w:color w:val="000000"/>
          <w:sz w:val="12"/>
        </w:rPr>
        <w:t>TM</w:t>
      </w:r>
      <w:r>
        <w:rPr>
          <w:color w:val="000000"/>
        </w:rPr>
        <w:t xml:space="preserve"> </w:t>
      </w:r>
      <w:r>
        <w:rPr>
          <w:rFonts w:ascii="Arial;sans-serif" w:hAnsi="Arial;sans-serif"/>
          <w:b w:val="false"/>
          <w:color w:val="000000"/>
          <w:sz w:val="18"/>
        </w:rPr>
        <w:t xml:space="preserve">line, which enable our customers to maximize the functionality, organization and safety of any given space. </w:t>
      </w:r>
    </w:p>
    <w:p>
      <w:pPr>
        <w:pStyle w:val="TextBody"/>
        <w:bidi w:val="0"/>
        <w:spacing w:lineRule="auto" w:line="288" w:before="0" w:after="60"/>
        <w:ind w:left="0" w:right="0" w:firstLine="360"/>
        <w:jc w:val="both"/>
        <w:rPr>
          <w:rFonts w:ascii="Arial;sans-serif" w:hAnsi="Arial;sans-serif"/>
          <w:b w:val="false"/>
          <w:color w:val="000000"/>
          <w:sz w:val="18"/>
        </w:rPr>
      </w:pPr>
      <w:r>
        <w:rPr>
          <w:rFonts w:ascii="Arial;sans-serif" w:hAnsi="Arial;sans-serif"/>
          <w:b w:val="false"/>
          <w:color w:val="000000"/>
          <w:sz w:val="18"/>
        </w:rPr>
        <w:t>VAPS add a multiplier effect to our circular story because we are able to reuse, repair, and maintain VAPS that come off rent, which helps drive better margins and growth. In addition, putting VAPS into our circular business model not only reduces material usage, but also reduces packaging waste, and transportation miles both for us and for our customers.</w:t>
      </w:r>
    </w:p>
    <w:p>
      <w:pPr>
        <w:pStyle w:val="TextBody"/>
        <w:bidi w:val="0"/>
        <w:spacing w:lineRule="auto" w:line="288" w:before="0" w:after="120"/>
        <w:ind w:left="0" w:right="0" w:firstLine="360"/>
        <w:jc w:val="both"/>
        <w:rPr>
          <w:rFonts w:ascii="Arial;sans-serif" w:hAnsi="Arial;sans-serif"/>
          <w:b w:val="false"/>
          <w:color w:val="000000"/>
          <w:sz w:val="18"/>
        </w:rPr>
      </w:pPr>
      <w:r>
        <w:rPr>
          <w:rFonts w:ascii="Arial;sans-serif" w:hAnsi="Arial;sans-serif"/>
          <w:b w:val="false"/>
          <w:color w:val="000000"/>
          <w:sz w:val="18"/>
        </w:rPr>
        <w:t>Circular by design, our business model helps us reduce material usage, emissions and costs, while helping our customers with their ESG goals. We aim to be the industry's most innovative partner in diverting waste, reducing emissions, and driving sustainable economic growth.</w:t>
      </w:r>
    </w:p>
    <w:p>
      <w:pPr>
        <w:pStyle w:val="TextBody"/>
        <w:bidi w:val="0"/>
        <w:spacing w:lineRule="auto" w:line="288" w:before="0" w:after="60"/>
        <w:jc w:val="both"/>
        <w:rPr>
          <w:rFonts w:ascii="Arial;sans-serif" w:hAnsi="Arial;sans-serif"/>
          <w:b w:val="false"/>
          <w:i/>
          <w:color w:val="000000"/>
          <w:sz w:val="18"/>
        </w:rPr>
      </w:pPr>
      <w:r>
        <w:rPr>
          <w:rFonts w:ascii="Arial;sans-serif" w:hAnsi="Arial;sans-serif"/>
          <w:b w:val="false"/>
          <w:i/>
          <w:color w:val="000000"/>
          <w:sz w:val="18"/>
        </w:rPr>
        <w:t>Waste Management / Reduction</w:t>
      </w:r>
    </w:p>
    <w:p>
      <w:pPr>
        <w:pStyle w:val="TextBody"/>
        <w:bidi w:val="0"/>
        <w:spacing w:lineRule="auto" w:line="288" w:before="0" w:after="60"/>
        <w:ind w:left="0" w:right="0" w:firstLine="360"/>
        <w:jc w:val="both"/>
        <w:rPr>
          <w:rFonts w:ascii="Arial;sans-serif" w:hAnsi="Arial;sans-serif"/>
          <w:b w:val="false"/>
          <w:color w:val="000000"/>
          <w:sz w:val="18"/>
        </w:rPr>
      </w:pPr>
      <w:r>
        <w:rPr>
          <w:rFonts w:ascii="Arial;sans-serif" w:hAnsi="Arial;sans-serif"/>
          <w:b w:val="false"/>
          <w:color w:val="000000"/>
          <w:sz w:val="18"/>
        </w:rPr>
        <w:t>Not only do we help our customers reduce waste with our reusable products, but we have also prioritized waste internally to focus on diversion, compliance, mitigation, and efficiencies. Our goals for reducing waste generation and disposal are fourfold and include developing baseline generation data, optimizing waste collection practices, increasing recycling, and reducing overall generation. Our strategy to reach these goals includes reducing packaging, eliminating single-use products where feasible, increasing use of reusable materials, educating our employees on proper sorting, introducing consistent signage, and centralizing and optimizing our waste collections points. To date, we have conducted nine waste composition studies across our branch network, and developed an operational waste diversion program that will enable us to identify opportunities for increased recycling and optimization of valuable materials such as wood, metal, and cardboard.</w:t>
      </w:r>
    </w:p>
    <w:p>
      <w:pPr>
        <w:pStyle w:val="TextBody"/>
        <w:bidi w:val="0"/>
        <w:spacing w:lineRule="auto" w:line="288" w:before="0" w:after="120"/>
        <w:ind w:left="0" w:right="0" w:firstLine="360"/>
        <w:jc w:val="both"/>
        <w:rPr>
          <w:rFonts w:ascii="Arial;sans-serif" w:hAnsi="Arial;sans-serif"/>
          <w:b w:val="false"/>
          <w:color w:val="000000"/>
          <w:sz w:val="18"/>
        </w:rPr>
      </w:pPr>
      <w:r>
        <w:rPr>
          <w:rFonts w:ascii="Arial;sans-serif" w:hAnsi="Arial;sans-serif"/>
          <w:b w:val="false"/>
          <w:color w:val="000000"/>
          <w:sz w:val="18"/>
        </w:rPr>
        <w:t>In addition, we conduct a thorough waste vendor assessment to ensure consistency and compliance with waste regulations, but also to shift our focus from simple waste disposal to waste mitigation. Our aim is to work with vendors who are willing to support our waste diversion efforts. This includes, but is not limited to, increased recycling of single stream materials and construction and demolition waste, right sizing of containers, optimization of service levels, education and training for users, and holistic waste data tracking. We also engage with our suppliers to establish takeback programs and identify opportunities to purchase product in bulk and/or reusable packaging to further eliminate waste generation.</w:t>
      </w:r>
    </w:p>
    <w:p>
      <w:pPr>
        <w:pStyle w:val="TextBody"/>
        <w:bidi w:val="0"/>
        <w:spacing w:lineRule="auto" w:line="288" w:before="0" w:after="60"/>
        <w:jc w:val="both"/>
        <w:rPr>
          <w:rFonts w:ascii="Arial;sans-serif" w:hAnsi="Arial;sans-serif"/>
          <w:b w:val="false"/>
          <w:i/>
          <w:color w:val="000000"/>
          <w:sz w:val="18"/>
        </w:rPr>
      </w:pPr>
      <w:r>
        <w:rPr>
          <w:rFonts w:ascii="Arial;sans-serif" w:hAnsi="Arial;sans-serif"/>
          <w:b w:val="false"/>
          <w:i/>
          <w:color w:val="000000"/>
          <w:sz w:val="18"/>
        </w:rPr>
        <w:t>Greenhouse Gas Emissions</w:t>
      </w:r>
    </w:p>
    <w:p>
      <w:pPr>
        <w:pStyle w:val="TextBody"/>
        <w:bidi w:val="0"/>
        <w:spacing w:lineRule="auto" w:line="288" w:before="0" w:after="60"/>
        <w:ind w:left="0" w:right="0" w:firstLine="360"/>
        <w:jc w:val="both"/>
        <w:rPr>
          <w:rFonts w:ascii="Arial;sans-serif" w:hAnsi="Arial;sans-serif"/>
          <w:b w:val="false"/>
          <w:color w:val="000000"/>
          <w:sz w:val="18"/>
        </w:rPr>
      </w:pPr>
      <w:r>
        <w:rPr>
          <w:rFonts w:ascii="Arial;sans-serif" w:hAnsi="Arial;sans-serif"/>
          <w:b w:val="false"/>
          <w:color w:val="000000"/>
          <w:sz w:val="18"/>
        </w:rPr>
        <w:t>Our greenhouse gas footprint and risk are small, however we can strive to do better. Our business requires management of a diverse and active delivery and set-up fleet and operation of yard equipment. We have both short- and long-term initiatives in place to improve efficiency and reduce emissions from our rolling stock fleet. In the short term, we are leveraging available technology and analytics to optimize the routes driven by our team, which in turn can reduce mileage, fuel consumption, and costs. We continue to actively invest in technology solutions to help us realize these and other efficiencies.</w:t>
      </w:r>
    </w:p>
    <w:p>
      <w:pPr>
        <w:pStyle w:val="TextBody"/>
        <w:bidi w:val="0"/>
        <w:spacing w:lineRule="auto" w:line="288" w:before="0" w:after="60"/>
        <w:ind w:left="0" w:right="0" w:firstLine="360"/>
        <w:jc w:val="both"/>
        <w:rPr>
          <w:rFonts w:ascii="Arial;sans-serif" w:hAnsi="Arial;sans-serif"/>
          <w:b w:val="false"/>
          <w:color w:val="000000"/>
          <w:sz w:val="18"/>
        </w:rPr>
      </w:pPr>
      <w:r>
        <w:rPr>
          <w:rFonts w:ascii="Arial;sans-serif" w:hAnsi="Arial;sans-serif"/>
          <w:b w:val="false"/>
          <w:color w:val="000000"/>
          <w:sz w:val="18"/>
        </w:rPr>
        <w:t xml:space="preserve">Longer term, we are in the process of replacing older vehicles with modern, efficient vehicles, and have started acquiring vehicles fueled by alternative fuel methods, including renewable natural gas and electric alternatives, among others. In California we are piloting the use of compressed natural gas trucks, which emit roughly 20% fewer GHG emissions than their gasoline-powered counterparts. We plan to expand the program in California in 2024. Additionally, in 2023, we decommissioned more than 400 older diesel vehicles, and auctioned them off, where possible, to avoid waste. We replace older vehicles with new vehicles that have more efficient engines, and we continue exploring additional options for utilizing alternative fuel. </w:t>
      </w:r>
    </w:p>
    <w:p>
      <w:pPr>
        <w:pStyle w:val="TextBody"/>
        <w:bidi w:val="0"/>
        <w:spacing w:lineRule="auto" w:line="288" w:before="0" w:after="120"/>
        <w:ind w:left="0" w:right="0" w:firstLine="360"/>
        <w:jc w:val="both"/>
        <w:rPr>
          <w:rFonts w:ascii="Arial;sans-serif" w:hAnsi="Arial;sans-serif"/>
          <w:b w:val="false"/>
          <w:color w:val="000000"/>
          <w:sz w:val="18"/>
        </w:rPr>
      </w:pPr>
      <w:r>
        <w:rPr>
          <w:rFonts w:ascii="Arial;sans-serif" w:hAnsi="Arial;sans-serif"/>
          <w:b w:val="false"/>
          <w:color w:val="000000"/>
          <w:sz w:val="18"/>
        </w:rPr>
        <w:t>Over time, we believe these efforts will also help to reduce our fuel costs and risks, while also helping us secure contracts with like-minded customers. We are constantly developing new solutions to help our customers improve their business, reduce their carbon footprint and be better corporate citizens. These solutions include route optimization solutions to reduce travel distances and idle times and optimizing fleet vehicle usage to eliminate use of oversized or unnecessary equipment, each of which reduces greenhouse gas and improves customer efficiency.</w:t>
      </w:r>
    </w:p>
    <w:p>
      <w:pPr>
        <w:pStyle w:val="TextBody"/>
        <w:bidi w:val="0"/>
        <w:spacing w:lineRule="auto" w:line="288" w:before="0" w:after="120"/>
        <w:jc w:val="both"/>
        <w:rPr>
          <w:rFonts w:ascii="Arial;sans-serif" w:hAnsi="Arial;sans-serif"/>
          <w:b/>
          <w:i/>
          <w:color w:val="000000"/>
          <w:sz w:val="18"/>
        </w:rPr>
      </w:pPr>
      <w:r>
        <w:rPr>
          <w:rFonts w:ascii="Arial;sans-serif" w:hAnsi="Arial;sans-serif"/>
          <w:b/>
          <w:i/>
          <w:color w:val="000000"/>
          <w:sz w:val="18"/>
        </w:rPr>
        <w:t>Social</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Safety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protection of people and the environment is a core value at WillScot Mobile Mini. Our health and safety priorities are a driving force that shape who we are and what we do. Safety extends beyond our branches and yards and includes travel and activities at the customer sites. WillScot Mobile Mini fosters an environment in which our employees feel empowered and choose to make the safest and best decisions possible. We empower and reward employees for being personally accountable and exceeding safety guidelines in every task. Proper safety culture fosters personal accountability, leading to increased safety, active employee engagement and a strong commitment to the Company and our customers.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Today, we believe we are operating at high levels of safety and low levels of injury. In 2023, our Total Recordable Incident Rate (“TRIR”) was less than 1.0, which translates to keeping our employees very safe, and we remain committed to creating a zero-harm culture. Every Company employee has “stop-work” authority allowing employees to stop work, report near misses and identify improvements that impact their own safety and that of others, which supports our constant goal to identify and correct safety issues before they turn into incidents.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WillScot Mobile Mini leverages technology to assist our drivers and other team members in the safety arena. We created an assessment tool, our “Safety Save” application, that tracks employee safety engagement and measures the number of safety engagements as our team members complete them. Experienced safety professionals design and partner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22"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with the operating teams to use Safely Save reports to identify near misses, reported injuries, or plan safety focus areas based on reported or observed behaviors or findings. Additionally, with driver consent, we have implemented an onboard driver behavior monitoring system which detects risky driving behavior and informs leaders so they can coach drivers and gain commitment for improvement. We also use artificial intelligence applications to constantly assess and monitor driver performance. Any employee is encouraged to complete a safety assessment on an observation of a task, tool, behavior or other condition during working duties. Use of the Safety Save application and driver behavior monitoring system are just two examples we use to manage safety leadership at all levels.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Lastly, the Company maintains a robust safety assessment program that includes an annual commitment to environmental, health and safety by all employees that drives increased focus to our Health and Safety core value by providing increased visibility. Our goal is to help each team member succeed and enjoy a safe working experience. Who we are as people ultimately defines what we are as a business, and safety is everyone’s responsibility.</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environmental, health and safety management system (“EHSMS”) revolves around four main components, “plan,” “do,” “check” and “act.” Our safety management team is designed around these four main components and is responsible for developing, maintaining, and administering our EHSMS by assisting operations teams, providing training to ensure local teams are aware of and using safe practices, and auditing and monitoring safety performance. Our EHSMS is based on legal requirements and hazards that our employees face daily. As to “plan,” our health and safety culture policy, drafted by members of our senior executive team, highlights the tenets of our commitment to safe culture. We are subject to certain environmental, health, and safety laws and regulations in the countries, states, provinces, and localities in which we operate. Our health and safety programs are designed around global standards with appropriate variations addressing the multiple jurisdictions, regulations, hazards, and unique working environments where we operate. Hazard assessments are regularly conducted to reveal issues and trends and determine root causes. As to “do,” and based on our hazard assessments, the Company evaluates each task, creating or modifying standard operating procedures and work instructions. We provide safety and health training that exceeds regulatory requirements in line with employees’ tasks and the hazards they face during the completion of daily tasks. As it pertains to “check,” our corporate safety team conducts regular audits, and where deficiencies or corrective actions are needed, action plans are prepared, executed and tracked to closure. We focus on leading indicators as a better and more reliable gauge of organizational health than lagging indicators. This allows us to stay ahead of incident management behaviors, conditions or issues that can be corrected before an incident occurs. We use safety scorecards to track the safety performance of our drivers, branches, and divisions. Our scorecards include safety-leading indicators, allowing us to spot trends and prevent them from becoming problems. These leading indicators are reported and discussed no less than monthly in each region in which we operate. Lastly, as it pertains to “act,” among other initiatives, we have partnered with our insurers for several years to conduct external audits of our safety management system and practices. Seasoned safety auditors from the insurer visit and assess our operational safety practices to look for injury potential based on the latest trends at select branch locations. The Company uses these results to continuously update our EHSMS. We continue to focus on the root cause of our incidents, changing our approach as needed to target trending safety metrics. </w:t>
      </w:r>
    </w:p>
    <w:p>
      <w:pPr>
        <w:pStyle w:val="TextBody"/>
        <w:bidi w:val="0"/>
        <w:spacing w:lineRule="auto" w:line="288" w:before="0" w:after="60"/>
        <w:jc w:val="both"/>
        <w:rPr>
          <w:rFonts w:ascii="Arial;sans-serif" w:hAnsi="Arial;sans-serif"/>
          <w:b w:val="false"/>
          <w:i/>
          <w:color w:val="000000"/>
          <w:sz w:val="18"/>
        </w:rPr>
      </w:pPr>
      <w:r>
        <w:rPr>
          <w:rFonts w:ascii="Arial;sans-serif" w:hAnsi="Arial;sans-serif"/>
          <w:b w:val="false"/>
          <w:i/>
          <w:color w:val="000000"/>
          <w:sz w:val="18"/>
        </w:rPr>
        <w:t xml:space="preserve">Community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are scaling our community outreach consistent with our distributive business model. Our reach as a company gives us the ability to support all the communities in which we work and live. The following represents highlights of our giving approach.</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In addition to our Give Where You Live program, we partner with several national non-profit organizations such as Habitat for Humanity, St. Mary's Food Bank, Feeding America, Food Banks Canada, Bancos de Alimento Mexico, Junior Achievement, and the American Red Cross. We have partnered with Habitat for Humanity for over 17 years to provide in-kind donations and physical and monetary support to help families build and improve places to call home. Local branches are able to make an impact with local Habitat for Humanity affiliates by donating containers for up to seven months during a neighborhood build. In addition to corporate donations to St. Mary's Food Bank, Feeding America, Food Banks Canada, and Bancos de Alimento Mexico, employees across the Company have opportunities to hold food drives and volunteer their time at local food banks. Our partnership with Junior Achievement, supports our core cause of education. Junior Achievement provides work readiness, financial awareness, and entrepreneurship programs for students through chapters in all US states and internationally. Our partnership includes sponsoring a BizTown shop in Tempe, Arizona for the 2023-24, 2024-25, and 2025-26 school years, as well as opportunities for employees to volunteer at a BizTown, in the classroom and as a mentor. We established a community partnership with the American Red Cross to support our core cause of health and wellness. In addition to a corporate financial contribution in 2023, employees were encouraged to get involved with the Red Cross through blood drives, first aid kit builds and other volunteering opportunities. In addition, employees in Phoenix wrote cards to military service members and veterans in April 2023, expressing gratitude for their sacrifices and heroism, with similar projects completed for Veterans Day and the end-of-year holidays. The intersectionality of our IRTs with Give Where You Live is extending the social impact across our network.</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Our Minions of Kindness ("MoK") Fund is a 501(c)(3) organization that was established to help our employees and their immediate family members who experience unique and dire circumstances. This fund is supported exclusively through employee donations, with 100% of the donations we receive going directly to employees and their families in need. The MoK Fund is governed by a board of directors that is made up of volunteers within WillScot Mobile Mini.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23"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left"/>
        <w:rPr>
          <w:rFonts w:ascii="Arial;sans-serif" w:hAnsi="Arial;sans-serif"/>
          <w:b/>
          <w:i/>
          <w:color w:val="000000"/>
          <w:sz w:val="18"/>
        </w:rPr>
      </w:pPr>
      <w:r>
        <w:rPr>
          <w:rFonts w:ascii="Arial;sans-serif" w:hAnsi="Arial;sans-serif"/>
          <w:b/>
          <w:i/>
          <w:color w:val="000000"/>
          <w:sz w:val="18"/>
        </w:rPr>
        <w:t>Governance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Good governance enables everything we do. We are committed to operating with the highest ethical standards of corporate governance. Several years ago, our Board of Directors created a roadmap to improve the Company’s governance practices, which we have continued to develop and execute.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Nominating and Corporate Governance Committee oversees our ESG initiatives and is responsible for our efforts to identity and seek diverse candidates for our Board, which not only represents our commitment to creating a more diverse Board, but also our commitment to bringing in directors with strong experience to enhance our Board in key areas. In 2023, the Board acted to increase the size of the Board from eight to nine members and appointed Natalia Johnson to serve as a director to fill the vacancy created by that increase. Ms. Johnson brings significant human capital management, technological and digital modeling, systems and systems integration, end-market and industry, operational effectiveness, strategic planning and risk oversight experience to the Board. This decision reinforces the strategic direction of the Company, and the Board continues to evaluate talent, skill sets and diversity to align with the Company’s long-term future. The Company continues to pursue its commitment to creating a more racially and gender-diverse Board by seeking diverse candidates for Board seats. Moving forward, we plan to continue to seek potential director candidates with key qualifications and diverse backgrounds.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Audit Committee reviews the Board of Directors’ and the Company’s activities to identify enterprise risks, including climate, develops plans to mitigate those risks and is also responsible for monitoring our risk management framework on behalf of the Board. The committee considers a variety of potential risks that may affect the Company, including the competitive and macroeconomic landscape, cybersecurity and information technology, environmental health and safety, statutory/regulatory compliance, ESG risks, and ability to scale human capital and business systems for future growth. In 2023 we modified our Audit Committee Charter to specifically task the Audit Committee with periodically reviewing the Company’s policies and processes related to cybersecurity, data-protection threats and incident response, and to ensure compliance with the new SEC cybersecurity rules and related disclosure obligations. In conjunction, we have established a dedicated cybersecurity team to focus on protecting data confidentiality and integrity and ensuring continued availability of critical information systems that contain sensitive customer and employee data.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Over the past several years we have also implemented significant stockholder-focused actions as part of our governance efforts, including converting all prior outstanding warrants to a single class of common stock, setting requirements for a 12-month vesting period for Board member equity compensation, removing super majority voting requirements for all Board actions, and approving a biennial pay equity review and report from the Compensation Committee.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Lastly, our executive leadership team regularly reviews and refines our key governance policies, including policies on human rights, environmental responsibility, and vendor ethics, affirming our dedication to continuous improvement. These documents provide a strong structure that enables our directors and management to effectively pursue our goals on behalf of our business, our employees, and our stockholders.</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Intellectual Property</w:t>
      </w:r>
    </w:p>
    <w:p>
      <w:pPr>
        <w:pStyle w:val="TextBody"/>
        <w:bidi w:val="0"/>
        <w:spacing w:lineRule="auto" w:line="288" w:before="0" w:after="0"/>
        <w:ind w:left="0" w:right="0" w:firstLine="720"/>
        <w:jc w:val="both"/>
        <w:rPr/>
      </w:pPr>
      <w:r>
        <w:rPr>
          <w:rFonts w:ascii="Arial;sans-serif" w:hAnsi="Arial;sans-serif"/>
          <w:b w:val="false"/>
          <w:color w:val="000000"/>
          <w:sz w:val="18"/>
        </w:rPr>
        <w:t>We operate primarily under the WillScot and Mobile Mini brands. We protect our products and services through the use of trademarks and patents, none of which are individually material to our business. Our trademarks and patents are registered or pending application for registrations in the US Patent and Trademark Office and various non</w:t>
        <w:noBreakHyphen/>
        <w:t>US jurisdictions. On our Modular fleet, we maintain a patent for the design of our FLEX units in the US and other patents in the US and non-US jurisdictions concerning various assembly and panel components. On our Storage fleet, we have patented our proprietary Tri</w:t>
        <w:noBreakHyphen/>
        <w:t>Cam Locking System®, ContainerGuardLock® and other continued improvements in locking technology in the markets in which we operate and have obtained a trademark for PRORACK</w:t>
      </w:r>
      <w:r>
        <w:rPr>
          <w:rFonts w:ascii="Arial;sans-serif" w:hAnsi="Arial;sans-serif"/>
          <w:b w:val="false"/>
          <w:color w:val="000000"/>
          <w:sz w:val="12"/>
        </w:rPr>
        <w:t>TM</w:t>
      </w:r>
      <w:r>
        <w:rPr>
          <w:rFonts w:ascii="Arial;sans-serif" w:hAnsi="Arial;sans-serif"/>
          <w:b w:val="false"/>
          <w:color w:val="000000"/>
          <w:sz w:val="18"/>
        </w:rPr>
        <w:t>, our innovative complete system of sturdy, readily movable surfaces. We believe that continued innovation differentiates WillScot Mobile Mini with our customers and represents a source of long-term competitive advantage.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Available Information</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Our website address is www.willscotmobilemini.com. We make available, free of charge through our website, our Annual Report on Form 10-K, Quarterly Reports on Form 10-Q, Current Reports on Form 8-K, and amendments to those reports filed or furnished pursuant to Section 13(a) or 15(d) of the Securities Exchange Act of 1934 (the “Exchange Act”) as soon as reasonably practicable after such documents are electronically filed with, or furnished to, the United States Securities and Exchange Commission (the “SEC”). The SEC maintains an internet website at www.sec.gov that contains reports, proxy and information statements and other information regarding WillScot Mobile Mini. Our website also includes our Corporate Governance Policies, Code of Business Conduct and Ethics and charters of the Audit Committee, Compensation Committee, and Nominating and Corporate Governance Committee of our Board of Directors.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Regulatory and Environmental Compliance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are subject to certain environmental, transportation, anti-corruption, import control, health and safety, and other laws and regulations in countries, states or provinces, and localities in which we operate. We incur significant costs in our business to comply with these laws and regulations. However, from time to time we may be subject to additional costs and penalties as a result of non-compliance. The discovery of currently unknown matters or conditions, new laws and regulations,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24"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or different enforcement or interpretation of existing laws and regulations could materially harm our business or operations in the future.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are subject to laws and regulations that govern and impose liability for activities that may have adverse environmental effects, including discharges into air and water and handling and disposal of hazardous substances and waste. As of the date of this filing, no environmental matter has been material to our operations. Based on our management’s assessment, we believe that any environmental matters relating to us of which we are currently aware will not be material to our overall business or financial condition.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jurisdictions in which we operate are also subject to anti-bribery laws and regulations, such as the US Foreign Corrupt Practices Act of 1977, as amended (the “FCPA”). These regulations prevent companies and their officers, employees, and agents from making payments to officials and public entities of foreign countries to facilitate obtaining new contracts. Violations of these laws and regulations may result in criminal sanctions and significant monetary penalties.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Certain of our units are subject to regulation in certain states under motor vehicle and similar registrations and certificate of title statutes. Management believes that the Company has complied, in all material respects, with all motor vehicle registration and similar certificate of title statutes in states where such statutes clearly apply to modular space units. We have not taken actions under such statutes in states where we have determined that such statutes do not apply to modular space units. However, in certain states, the applicability of such statutes to modular space units is not clear beyond doubt. If additional registration and related requirements are deemed to be necessary in such states or if the laws in such states or other states were to change to require us to comply with such requirements, we could be subject to additional costs, fees, and taxes as well as administrative burdens to comply with such statutes and requirements. Management does not believe that the effect of such compliance will be material to our business or financial condition.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color w:val="000000"/>
          <w:sz w:val="44"/>
        </w:rPr>
      </w:pPr>
      <w:r>
        <w:rPr>
          <w:rFonts w:ascii="Arial;sans-serif" w:hAnsi="Arial;sans-serif"/>
          <w:b/>
          <w:color w:val="000000"/>
          <w:sz w:val="44"/>
        </w:rPr>
        <w:t xml:space="preserve">ITEM 1A.    Risk Factors </w:t>
      </w: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Risks Relating to Our Business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are subject to various laws and regulations, including recent pronouncements related to laws and regulations governing antitrust, climate related disclosures, privacy, government contracts, anti-corruption and the environment. Obligations and liabilities under these laws and regulations may materially harm our business.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operations are subject to an array of governmental regulations in each of the jurisdictions in which we operate. For example, our activities in the US are subject to regulation by several federal and state government agencies, including the Occupational Safety and Health Administration, and by federal and state laws. Our operations and activities in other jurisdictions are subject to similar governmental regulations. Similar to conventionally constructed buildings, the modular business industry is also subject to regulations by multiple governmental agencies in each jurisdiction relating to, among others, environmental, zoning and building standards, and health, safety and transportation matters. These regulations affect our Storage Solutions customers, most of whom use our storage units to store their goods on their own properties for various lengths of time. If local zoning laws or planning permission regulations in one or more of our markets no longer allow our units to be stored on customers' sites, our business in that market will suffer. Noncompliance with applicable regulations, implementation of new regulations or modifications to existing regulations may increase costs of compliance, require a termination of certain activities or otherwise materially adversely affect our business, results of operations and financial condition.</w:t>
      </w:r>
    </w:p>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 xml:space="preserve">Recent Pronouncements </w:t>
      </w:r>
    </w:p>
    <w:p>
      <w:pPr>
        <w:pStyle w:val="TextBody"/>
        <w:bidi w:val="0"/>
        <w:spacing w:lineRule="auto" w:line="288" w:before="0" w:after="120"/>
        <w:ind w:left="0" w:right="0" w:firstLine="720"/>
        <w:jc w:val="both"/>
        <w:rPr/>
      </w:pPr>
      <w:r>
        <w:rPr>
          <w:rFonts w:ascii="Arial;sans-serif" w:hAnsi="Arial;sans-serif"/>
          <w:b w:val="false"/>
          <w:color w:val="000000"/>
          <w:sz w:val="18"/>
        </w:rPr>
        <w:t>Recent pronouncements by the SEC, Federal Trade Commission, Department of Justice,</w:t>
      </w:r>
      <w:r>
        <w:rPr>
          <w:color w:val="000000"/>
          <w:shd w:fill="FFFFFF" w:val="clear"/>
        </w:rPr>
        <w:t xml:space="preserve"> </w:t>
      </w:r>
      <w:r>
        <w:rPr>
          <w:rFonts w:ascii="Arial;sans-serif" w:hAnsi="Arial;sans-serif"/>
          <w:b w:val="false"/>
          <w:color w:val="000000"/>
          <w:sz w:val="18"/>
          <w:shd w:fill="FFFFFF" w:val="clear"/>
        </w:rPr>
        <w:t xml:space="preserve">and the state of California, among others, related to antitrust, climate related disclosures, and privacy could have the impact of increasing Company compliance costs, increasing potential liability to the Company as a result of frivolous lawsuits, or place the Company in a position of not knowing when or if the laws are settled in a particular area for the Company to effectively comply. </w:t>
      </w:r>
    </w:p>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US Government Contract Laws and Regulations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government customers include the US government, which means we are subject to various statutes and regulations applicable to doing business with the US government. These types of contracts customarily contain provisions that give the US government substantial rights and remedies, many of which are not typically found in commercial contracts and which are unfavorable to contractors, including provisions that allow the government to unilaterally terminate or modify our federal government contracts, in whole or in part, at the government’s convenience. Under general principles of US government contracting law, if the government terminates a contract for convenience, the terminated company may generally recover only its incurred or committed costs, settlement expenses and profit on work completed prior to the termination. If the government terminates a contract for default, the defaulting company may be liable for any extra costs incurred by the government in procuring undelivered items from another source.</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addition, US government contracts and grants normally contain additional requirements that may increase our costs of doing business, reduce our profits, and expose us to liability for failure to comply with these terms and conditions. These requirements include, for example: (a) specialized disclosure and accounting requirements unique to US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25"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contracts; (b) 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 (c) public disclosures of certain contract and company information; and (d) mandatory socioeconomic compliance requirements, including labor requirements, non-discrimination and affirmative action programs and environmental compliance requirements.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If we fail to comply with these requirements, our contracts may be subject to termination, and we may be subject to financial and/or other liability under our contracts or under the Federal Civil False Claims Act (the "False Claims Act"). The False Claims Act’s “whistleblower” provisions allow private individuals, including present and former employees, to sue on behalf of the US government. The False Claims Act statute provides for treble damages and other penalties, and if our operations are found to be in violation of the False Claims Act, we could face other adverse actions, including suspension or prohibition from doing business with the US government. Any penalties, damages, fines, suspension or damages could adversely affect our ability to operate our business and our financial results.</w:t>
      </w:r>
    </w:p>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Department of Transportation and Titling Regulations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operate in the US pursuant to operating authority granted by the US Department of Transportation (the “DOT”). Our drivers must comply with the safety and fitness regulations of the DOT, including those relating to drug and alcohol testing and hours of service. Such matters as equipment weight and dimensions are also subject to government regulations. Our safety record could be ranked poorly compared to peer firms. A poor safety ranking may result in the loss of customers or difficulty attracting and retaining qualified drivers which could affect our results of operations. Should additional rules be enacted in the future, compliance with such rules could result in additional costs.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Additionally, we are subject to, and may be required to expend funds to ensure compliance with a variety of laws, regulations, and ordinances related to unit titling, stamping, and registration rules and procedures, and notification requirements to agencies and law enforcement relating to unit transfers, particularly when acquiring new assets and operations. Many of these laws and regulations are frequently complex and subject to interpretation, and failure to comply with present or future regulations or changes in interpretations of existing laws or regulations may result in impairment or suspension of our operations and the imposition of penalties and other liabilities. At various times, we may be involved in disputes with local governmental officials regarding the development and/or operation of our units. We may be subject to similar types of regulations by governmental agencies in new markets. In addition, new legal or regulatory requirements or changes in existing requirements may delay or increase the cost of acquiring and integrating new units, which may adversely impact our ability to conduct business.</w:t>
      </w:r>
    </w:p>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Anti-Corruption Laws and Regulations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are subject to various anti-corruption laws that prohibit improper payments or offers of payments to foreign governments and their officials by a US person for the purpose of obtaining or retaining business. We operate in countries that may present a more corruptible business environment than the US. Such activities create the risk of unauthorized payments or offers of payments by one of our employees or agents that could be in violation of various laws, including the FCPA. We have implemented safeguards and policies to discourage these practices by our employees and agents. However, existing safeguards and any future improvements may prove to be ineffective and employees or agents may engage in conduct for which we might be held responsible.</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including suspension or debarment from US government contracting, and we may be subject to other liabilities which could materially adversely affect our business, results of operations and financial condition. We are also subject to similar anti-corruption laws in other jurisdictions.</w:t>
      </w:r>
    </w:p>
    <w:p>
      <w:pPr>
        <w:pStyle w:val="TextBody"/>
        <w:bidi w:val="0"/>
        <w:spacing w:lineRule="auto" w:line="288" w:before="0" w:after="60"/>
        <w:jc w:val="both"/>
        <w:rPr>
          <w:rFonts w:ascii="Arial;sans-serif" w:hAnsi="Arial;sans-serif"/>
          <w:b/>
          <w:i/>
          <w:color w:val="000000"/>
          <w:sz w:val="18"/>
          <w:shd w:fill="FFFFFF" w:val="clear"/>
        </w:rPr>
      </w:pPr>
      <w:r>
        <w:rPr>
          <w:rFonts w:ascii="Arial;sans-serif" w:hAnsi="Arial;sans-serif"/>
          <w:b/>
          <w:i/>
          <w:color w:val="000000"/>
          <w:sz w:val="18"/>
          <w:shd w:fill="FFFFFF" w:val="clear"/>
        </w:rPr>
        <w:t>Environmental Laws and Regulations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are subject to a variety of national, state, regional and local environmental laws and regulations. Among other things, these laws and regulations impose limitations and prohibitions on the discharge and emission of, and establish standards for the use, disposal and management of, regulated materials and waste and impose liabilities for the costs of investigating and cleaning up, and damages resulting from, present and past spills, disposals or other releases of hazardous substances or materials. In the ordinary course of business, we use and generate substances that are regulated or may be hazardous under environmental laws. We have an inherent risk of liability under environmental laws and regulations, both with respect to ongoing operations and with respect to contamination that may have occurred in the past on our properties or as a result of our operations. While we endeavor to comply with all regulatory requirements, from time to time, our operations or conditions on properties that we have acquired have resulted in liabilities under these environmental laws. We may in the future incur material costs to comply with environmental laws or sustain material liabilities from claims concerning noncompliance or contamination. Under certain environmental laws, we could be held responsible for all of the costs relating to any contamination at, or migration to or from, our or our predecessors' past or present facilities. These laws often impose liability even if the owner, operator or lessor did not know of, or was not responsible for, the release of such hazardous substances. While we maintain certain related insurance coverages, we have no reserves for any such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26"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are also required to obtain environmental permits from governmental authorities for certain of our operations. If we violate or fail to obtain or comply with these laws, regulations, or permits, we could be fined or otherwise sanctioned by regulators. We could also become liable if employees or other parties are improperly exposed to hazardous materials.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cannot predict what environmental legislation or regulations will be enacted in the future, how existing or future laws or regulations will be administered or interpreted, or what environmental conditions may be found to exist at our facilities or at third party sites for which we may be liable. Enactment of stricter laws or regulations, stricter interpretations of existing laws and regulations or the requirement to undertake the investigation or remediation of currently unknown environmental contamination at sites we own or third-party sites may require us to make additional expenditures, some of which could be material. Responding to governmental investigations or other actions may be both time-consuming and disruptive to our operations and could divert the attention of our management and key personnel from our business operations. The impact of these and other investigations and lawsuits could have a material adverse effect on our financial statements.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may be unable to successfully acquire and integrate new operations, which could cause our business to suffer.</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have historically achieved a significant portion of our growth through acquisitions, and we will continue to consider potential acquisitions on a selective basis. There can be no assurance that we will be able to identify suitable acquisition opportunities in the future or that we will be able to consummate any such transactions on terms and conditions acceptable to us.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Additionally, we cannot predict if or when acquisitions will be completed, and we may face significant competition for acquisition targets. Acquisitions involve numerous risks, including (a) difficulties in integrating the operations, technologies, management information systems, products and personnel of the acquired companies; (b) diversion of management’s attention from normal daily operations of the business; (c) loss of key employees; (d) difficulties in entering markets in which we have no or limited prior experience and where our competitors in such markets have stronger market positions; (e) difficulties in complying with regulations, such as antitrust and environmental regulations, and managing risks related to an acquired business; (f) an inability to timely obtain financing, including any amendments required to existing financing agreements; (g) an inability to implement uniform standards, controls, procedures and policies; (h) undiscovered and unknown problems, defects, liabilities or other issues related to any acquisition that become known to us only after the acquisition, particularly relating to rental equipment on lease that are unavailable for inspection during the diligence process; and (i) loss of key customers or suppliers.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Acquisitions are inherently risky, and we cannot provide assurance that any future acquisitions will be successful or will not materially adversely affect our business, results of operations and financial condition. If we do not manage new markets effectively, some of our new branches and acquisitions may lose money or fail, and we may have to close unprofitable branches. We must continue to take actions to realize the combined cost synergies and commercial synergies that we forecast for our acquisitions. We may incur more costs than we anticipated to achieve the forecast synergies (thus reducing the net benefit of the cost synergies), realize synergies later than we expected or fail altogether to achieve a portion of the cost savings or commercial synergies we anticipated. Any of these events could cause reductions in our earnings per share, impact our ability to borrow funds under our credit facility, decrease or delay the accretive effect of the acquisitions that we anticipated and negatively impact our stock price.</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Global or local economic movements could have a material adverse effect on our business.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business, which operates in the US, Canada, and Mexico, may be negatively impacted by economic movements or downturns in the local markets in which we operate or global markets generally. These adverse economic conditions may reduce commercial activity, cause disruption and extreme volatility in global financial markets and increase rates of default and bankruptcy. Reduced economic activity has at times historically resulted in reduced demand for our products and services. Disruptions in financial markets could negatively impact the ability of our customers to pay their obligations to us in a timely manner and increase our counterparty risk. If economic conditions worsen, we may face reduced demand and an increase, relative to historical levels, in the time it takes to receive customer payments. If we are not able to adjust our business in a timely and effective manner to changing economic conditions, our business, results of operations and financial condition may be materially adversely affected.</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Moreover, the level of demand for our products and services is sensitive to the level of demand within various sectors, particularly the commercial and industrial, construction, education, energy and natural resources, and government end markets. Each of these sectors is influenced not only by the state of the general global economy, but also by a number of more specific factors as well. For example, a decline in global or local energy prices may materially adversely affect demand for modular buildings within the energy and resources sector. The levels of activity in these sectors and geographic regions may also be cyclical, and we may not be able to predict the timing, extent or duration of the activity cycles in the markets in which we or our key customers operate. A decline or slowed growth in any of these sectors or geographic regions could result in reduced demand for our products and services, which may materially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27"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Any failure of our management information systems could disrupt our business operations, which could result in decreased lease or sale revenue and increase overhead costs.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rely heavily on information systems across our operations. We also utilize third-party cloud providers to host certain of our applications and to store data. Our ability to effectively manage our business depends significantly on the reliability and capacity of these systems. The failure of our management information systems to perform as anticipated could damage our reputation with our customers, disrupt our business or result in, among other things, decreased lease and sales revenue and increased overhead costs.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 Moreover, the integration of any acquisition may create unforeseen challenges for our management information systems which could result in unforeseen expenditures and other risks, including difficulties in managing facilities and employees in different geographic areas. </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believe we have implemented appropriate measures to mitigate potential risks; however, like other companies, our information technology systems may be vulnerable to a variety of interruptions due to our own error or events beyond our control. The measures that we employ to protect our systems may not detect or prevent cybersecurity threats or incidents, natural disasters, terrorist attacks, telecommunication failures, computer viruses, hackers, phishing attacks, and other security issues. We have previously been the target of attempted cyber-attacks and have, from time to time, experienced threats to our data and information systems, computer virus attacks and phishing attempts, and we may be subject to breaches of the information systems that we use. We have not experienced a material cybersecurity incident. We have programs in place that are intended to detect, contain and respond to data security incidents and that provide employee awareness training regarding phishing, malware, and other cyber risks to protect against cyber risks and security breaches. However, because the techniques used to obtain unauthorized access, disable or degrade service, or sabotage systems change frequently and may be difficult to detect for long periods of time, we may be unable to anticipate these techniques or implement adequate preventative measures. In addition, because our systems contain information about individuals and other businesses, the failure to maintain the security of the data we hold, whether the result of our own error or the malfeasance or errors of others, could harm our reputation or give rise to legal liabilities leading to lower revenue, increased costs, regulatory sanctions and other potential material adverse effects on our business, results of operations and financial condition.</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Trade policies and changes in trade policies, including the imposition of tariffs, their enforcement and downstream consequences, may materially adversely affect our business, results of operations, and outlook. </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Tariffs and/or other developments with respect to trade policies, trade agreements and government regulations may materially, adversely affect our business, financial condition and results of operations. From time to time, the US government has historically imposed and may in the future impose tariffs on steel, aluminum and lumber imports from certain countries, which could result in increased costs to us for these materials. Without limitation, (i) tariffs currently in place and (ii) the imposition by the federal government of new tariffs on imports to the US could materially increase (a) the cost of our products that we are offering for sale or lease, (b) the cost of certain products that we source from foreign manufacturers, and (c) the cost of certain raw materials or products that we utilize. We may not be able to pass such increased costs on to our customers, and we may not be able to secure sources of certain products and materials that are not subject to tariffs on a timely basis. Although we actively monitor our procurement policies and practices to avoid undue reliance on foreign-sourced goods subject to tariffs, when practicable, such developments may materially adversely affect our business, financial condition and results of operations.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face significant competition in the modular space and portable storage industries. Such competition may result in pricing pressure or an inability to maintain or grow our market share. If we are unable to compete successfully, we could lose customers and our revenue and profitability could decline.</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Although our competition varies significantly by market, the modular space and portable storage industries are highly competitive and highly fragmented. We compete based on of a number of factors, including customer relationships, product quality and availability, delivery speed, VAPS and service capabilities, pricing, and overall ease of doing business. We may experience pricing pressures in our operations as some of our competitors seek to obtain market share by reducing prices, and we may face reduced demand for our products and services if our competitors are able to provide new or innovative products or services that better appeal to customers. In most of our end markets, we face competition from national, regional and local companies who have an established market position in the specific service area, and we expect to encounter similar competition in any new markets that we may enter. In certain markets, some of our competitors may have greater market share, less debt, greater pricing flexibility, more attractive product or service offerings, better brand recognition or superior marketing and financial resources. Increased competition could result in lower profit margins, substantial pricing pressure and reduced market share. Price competition, together with other forms of competition, may materially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28"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If we do not manage our credit risk effectively, collect on our accounts receivable, or recover our rental equipment from our customers, it could materially adversely affect our business, financial condition and results of operations.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perform credit evaluation procedures on our customers on each transaction and require security deposits or other forms of security from our customers when we identify a significant credit risk. Failure to manage our credit risk and receive timely payments on our customer accounts receivable may result in the write-off of customer receivables and loss of units if we are unable to recover our rental equipment from our customers’ sites. If we are not able to manage credit risk, or if a large number of our customers should have financial difficulties at the same time, our credit and rental equipment losses would increase above historical levels. If this should occur, our business, financial condition, results of operations and cash flows may be materially adversely affected.</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Fluctuations in interest rates and commodity prices may also materially adversely affect our revenues, results of operations and cash flows.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Although we have fixed-rate debt through our Senior Secured Notes, our borrowings under our senior secured revolving credit facility remain variable rate debt. Fluctuations in interest rates may negatively impact the amount of interest payments, as well as our ability to refinance portions of our existing debt in the future at attractive interest rates. In addition, certain of our end markets, as well as portions of our cost structure, such as transportation costs, are sensitive to changes in commodity prices, which can impact both demand for and profitability of our services. These changes could impact our future earnings and cash flows, assuming other factors are held constant.</w:t>
      </w:r>
    </w:p>
    <w:p>
      <w:pPr>
        <w:pStyle w:val="TextBody"/>
        <w:bidi w:val="0"/>
        <w:spacing w:lineRule="auto" w:line="288" w:before="0" w:after="60"/>
        <w:jc w:val="both"/>
        <w:rPr/>
      </w:pPr>
      <w:r>
        <w:rPr>
          <w:rFonts w:ascii="Arial;sans-serif" w:hAnsi="Arial;sans-serif"/>
          <w:b/>
          <w:color w:val="000000"/>
          <w:sz w:val="20"/>
          <w:shd w:fill="FFFFFF" w:val="clear"/>
        </w:rPr>
        <w:t>We are subject to risks as</w:t>
      </w:r>
      <w:r>
        <w:rPr>
          <w:rFonts w:ascii="Arial;sans-serif" w:hAnsi="Arial;sans-serif"/>
          <w:b/>
          <w:color w:val="000000"/>
          <w:sz w:val="20"/>
        </w:rPr>
        <w:t>sociated with labor relations, labor costs and labor disruptions.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are subject to the costs and risks generally associated with labor disputes and organizing activities related to unionized labor. It is possible that strikes, public demonstrations or other coordinated actions and publicity may disrupt our operations. We may incur increased legal costs and indirect labor costs as a result of contractual disputes, negotiations or other labor-related disruptions. We have collective bargaining agreements with employees in portions of our Mexico-based operations, which accounted for less than 1% of our total employees as of December 31, 2023. These operations may be more highly affected by labor force activities than others, and all collective bargaining agreements must be renegotiated annually. Other locations may also face organizing activities or effects. Labor organizing activities could result in additional employees becoming unionized. Furthermore, collective bargaining agreements may limit our ability to reduce the size of work forces during an economic downturn, which could put us at a competitive disadvantage. We believe a unionized workforce outside of Mexico would generally increase our operating costs, divert attention of management from servicing customers and increase the risk of work stoppages, all of which could have a material adverse effect on our business, results of operations or financial condition.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ability to profitably execute our business plan depends on our ability to attract, develop and retain qualified personnel. Certain of our key executives, managers and employees have knowledge and an understanding of our business and our industry, and/or have developed meaningful customer relationships, that cannot be duplicated readily. Our ability to attract and retain qualified personnel is dependent on, among other things, the availability of qualified personnel and our ability to provide a competitive compensation package, including the implementation of adequate drivers of retention and rewards based on performance, and work environment. Failure to retain qualified key personnel may materially adversely affect our business, results of operations and financial condition. The departure of any key personnel and our inability to enforce non-competition agreements could have a negative impact on our business.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Moreover, labor shortages, the inability to hire or retain qualified employees and increased labor costs could have a material adverse effect on our ability to control expenses and efficiently conduct our operations. We may not be able to continue to hire and retain the sufficiently skilled labor force necessary to operate efficiently and to support our operating strategies. Labor expenses could also increase as a result of continuing shortages in the supply of personnel.</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Our customer base includes customers operating in a variety of industries which may be subject to changes in their competitive environment as a result of the global, national or local economic climate in which they operate and/or economic or financial disruptions to their industry.</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customer base includes customers operating in a variety of industries, including commercial and industrial, construction, education, energy and natural resources, government, retail and other end markets. Many of these customers, across this wide range of industries, are facing economic and/or financial pressure from changes to their industry resulting from the global, national and local economic climate in which they operate and industry-specific economic and financial disruptions, including, in some cases, consolidation and lower sales revenue from physical locations, resulting from changes in political, social and economic conditions. These and any future changes to any of the industries in which our customers operate could cause them to rent fewer units from us or otherwise be unable to satisfy their obligations to us. In addition, certain of our customers are facing financial pressure and such pressure, or other factors, may result in consolidation in some industries and/or an increase in bankruptcy filings by certain customers. Each of these facts and industry impacts, individually or in the aggregate, could have a materially adverse effect on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29"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before="0" w:after="60"/>
        <w:jc w:val="left"/>
        <w:rPr/>
      </w:pPr>
      <w:r>
        <w:rPr/>
      </w:r>
    </w:p>
    <w:p>
      <w:pPr>
        <w:pStyle w:val="TextBody"/>
        <w:bidi w:val="0"/>
        <w:spacing w:lineRule="auto" w:line="276"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may not be able to adequately protect our intellectual property and other proprietary rights that are material to our business.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ability to compete effectively depends in part upon protection of our rights in trademarks, copyrights and other intellectual property rights we own or license, including patents to the Mobile Mini locking system. Our use of contractual provisions, confidentiality procedures and agreements, and trademark, copyright, unfair competition, trade secret and other laws to protect our intellectual property and other proprietary rights may not be adequate. Litigation may be necessary to enforce our intellectual property rights and protect our proprietary information and patents, or to defend against claims by third parties that our services or our use of intellectual property infringe their intellectual property rights. Any litigation or claims brought by or against us could result in substantial costs and diversion of resources. A successful claim of trademark, copyright or other intellectual property infringement against us could prevent us from providing services, which could harm our business, financial condition or results of operations. In addition, a breakdown in our internal policies and procedures may lead to an unintentional disclosure of our proprietary, confidential or material non-public information, which could in turn harm our business, financial condition or results of operations.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Our operations could be subject to natural disasters and other business disruptions, which could materially adversely affect our information systems, future revenue, financial condition, cash flows and increase our costs and expenses.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operations could be subject to natural disasters and other business disruptions such as pandemics, fires, floods, hurricanes, earthquakes and terrorism, which could adversely affect our information systems, future revenue, financial condition, and cash flows and increase our costs and expenses. In addition, the occurrence and threat of terrorist attacks may directly or indirectly affect economic conditions, which could adversely affect demand for our products and services. In the event of a major natural or man-made disaster, we could experience loss of life of our employees, destruction of facilities or business interruptions, any of which may materially adversely affect our business. If any of our facilities or a significant amount of our rental equipment were to experience a catastrophic loss, it could disrupt our operations, delay orders, shipments and revenue recognition and result in expenses to repair or replace the damaged rental equipment and facility not covered by asset, liability, business continuity or other insurance contracts. Also, we could face significant increases in premiums or losses of coverage due to the loss experienced during and associated with these and potential future natural or man-made disasters that may materially adversely affect our business. In addition, attacks or armed conflicts that directly impact one or more of our properties could significantly affect our ability to operate those properties and thereby impair our results of operations.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general, any of these events could cause consumer confidence and spending to decrease or result in increased volatility in the global economy and worldwide financial markets. Any such occurrence could materially adversely affect our business, results of operations and financial condition.</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Our operations are dependent, in part, on our ability to establish and profitably maintain the appropriate physical presence in the markets we serve.</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operations depend, in part, on our ability to develop and optimize our branch network and market coverage while maintaining profitability. Our ability to optimize our branch network and market coverage requires active management of our real estate portfolio in a manner that permits locations and offerings to evolve over time, which to the extent it involves the relocation of existing branch locations or the opening of additional branch locations will depend on a number of factors, including our identification and availability of suitable locations; our success in negotiating leases on acceptable terms; and our timely development of new branch locations, including the availability of construction materials and labor and the absence of significant construction and other delays based on weather or other events. These factors could potentially increase the cost of doing business and the risk that our business practices could result in liabilities that may adversely affect our business, results of operations and financial condition.</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have in the past, and we intend in the future, to expand our operations into new geographic markets. This expansion could require financial resources that would not therefore be available for other aspects of our business. In addition, this expansion could require the time and attention of management, leaving less time to focus on existing business. If we fail to manage the risks inherent in our geographic expansion, we could incur capital and operating costs without any related increase in revenue, which would harm our operating results.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We may incur property, casualty or other losses not covered by our insurance.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are partly self-insured for a number of different risk categories, such as general liability (including product liability), workers' compensation, automobile claims, crime, and cyber liability, with insurance coverage for certain catastrophic risks. The types and amounts of insurance may vary from time to time based on our decisions with respect to risk retention and regulatory requirements. Effective August 1, 2023, we are self-insured for property risks. The occurrence of significant claims, a substantial rise in costs to maintain our insurance, or the failure to maintain adequate insurance coverage could have an adverse impact on our financial condition and results of operations.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Failure to close our unit sales transactions as we project could cause our actual revenue or cash flow for a particular fiscal period to differ from expectations.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Sales of new and used modular space and portable storage units to customers represented approximately 4% of WillScot Mobile Mini's revenue during the year ended December 31, 2023. Sale transactions are subject to certain factors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30"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pPr>
      <w:r>
        <w:rPr>
          <w:rFonts w:ascii="Arial;sans-serif" w:hAnsi="Arial;sans-serif"/>
          <w:b w:val="false"/>
          <w:color w:val="000000"/>
          <w:sz w:val="18"/>
        </w:rPr>
        <w:t>are beyond our control, including permit requirements, the timely completion of prerequisite work by others and weather conditions. Accordingly, the actual timing of the completion of these transactions may take longer than we expect. As a result, our actual revenue and cash flow in a particular fiscal period may not consistently correlate to our internal operational plans and budgets. If we are unable to accurately predict the timing of these sal</w:t>
      </w:r>
      <w:r>
        <w:rPr>
          <w:rFonts w:ascii="Arial;sans-serif" w:hAnsi="Arial;sans-serif"/>
          <w:b w:val="false"/>
          <w:color w:val="000000"/>
          <w:sz w:val="18"/>
          <w:shd w:fill="FFFFFF" w:val="clear"/>
        </w:rPr>
        <w:t>es, we may fail to take advantage of business and growth opportunities otherwise available, and our business, results of operations, financial condition and cash flows may be materially adversely affected.</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If we fail to maintain an effective system of internal controls, we may not be able to accurately report our financial results, which could lead to a loss of investor confidence in our financial statements and have an adverse effect on our stock price.</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Effective internal controls are necessary for us to provide reliable and accurate financial statements and to effectively prevent fraud. We devote significant resources and time to comply with the internal control over financial reporting requirements of the Sarbanes-Oxley Act of 2002 as amended (the "Sarbanes-Oxley Act"). There is no assurance that material weaknesses or significant deficiencies will not occur or that we will be successful in adequately remediating any such material weaknesses and significant deficiencies. We may in the future discover areas of our internal controls that need improvement. We cannot be certain that we will be successful in maintaining adequate internal control over our financial reporting and financial processes. Furthermore, as we grow our business, including through acquisition, our internal controls will become more complex, and we will require significantly more resources to ensure our internal controls remain effective. Additionally, the existence of any material weakness or significant deficiency would require management to devote significant time and incur significant expense to remediate any such material weaknesses or significant deficiencies, and management may not be able to remediate any such material weaknesses or significant deficiencies in a timely manner. The existence of any material weakness in our internal control over financial reporting could also result in errors in our financial statements that could require us to restate our financial statements, cause us to fail to meet our reporting obligations, subject us to investigations from regulatory authorities or cause stockholders to lose confidence in our reported financial information, all of which could materially and adversely affect us.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are subject to evolving public disclosure, financial reporting and corporate governance expectations and regulations that impact compliance costs and risks of noncompliance.</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are subject to changing rules and regulations promulgated by a number of governmental and self-regulatory organizations, including the SEC and Nasdaq, as well as evolving investor expectations around disclosures, financial reporting, corporate governance and environmental and social practices. These rules and regulations continue to evolve in scope and complexity, and many new requirements have been created in response to laws enacted by the US and foreign governments, making compliance more difficult and uncertain. The increase in costs to comply with such evolving expectations, rules and regulations, as well as any risk of noncompliance, could adversely impact us.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may be unable to achieve our environmental, social and governance goals.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are dedicated to corporate social responsibility and sustainability and our employees, customers, and stockholders expect us to make significant advancements in environmental, social and governance matters. In part to address these concerns, we established certain goals as part of our ESG strategy. Achievement of our goals is subject to risks and uncertainties, many of which are outside of our control, and it is possible that we may fail to achieve these goals or that our colleagues, customers, or stockholders might not be satisfied with our efforts. These risks and uncertainties include, but are not limited to: our ability to execute our operational strategies and achieve our goals within the currently projected costs and the expected timeframes; the availability and cost of renewable energy and other materials; compliance with, and changes or additions to, global and regional regulations, taxes, charges, mandates or requirements relating to climate-related goals; labor-related regulations and requirements that restrict or prohibit our ability to impose requirements on third-party contractors; the actions of competitors and competitive pressures; and an acquisition of or merger with another company that has not adopted similar goals or whose progress towards reaching its goals is not as advanced as ours. A failure to meet our goals could adversely affect public perception of our business, employee morale or customer or stockholder support.</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 xml:space="preserve">Further, an increasing percentage of employees, customers, and stockholders considers sustainability factors in making employment, business and investment decisions. If we are unable to meet our goals, we may lose employees, and have difficulty recruiting new employees, investors, customers, or partners, our stock price may be negatively impacted, our reputation may be negatively affected, and it may be more difficult for us to compete effectively, all of which would have an </w:t>
      </w:r>
      <w:r>
        <w:rPr>
          <w:rFonts w:ascii="Arial;sans-serif" w:hAnsi="Arial;sans-serif"/>
          <w:b w:val="false"/>
          <w:color w:val="000000"/>
          <w:sz w:val="18"/>
        </w:rPr>
        <w:t>adverse effect on our business, operating results, and financial condition.</w:t>
      </w:r>
    </w:p>
    <w:p>
      <w:pPr>
        <w:pStyle w:val="TextBody"/>
        <w:bidi w:val="0"/>
        <w:spacing w:lineRule="auto" w:line="276" w:before="0" w:after="60"/>
        <w:jc w:val="both"/>
        <w:rPr>
          <w:rFonts w:ascii="Arial;sans-serif" w:hAnsi="Arial;sans-serif"/>
          <w:b/>
          <w:color w:val="000000"/>
          <w:sz w:val="20"/>
        </w:rPr>
      </w:pPr>
      <w:r>
        <w:rPr>
          <w:rFonts w:ascii="Arial;sans-serif" w:hAnsi="Arial;sans-serif"/>
          <w:b/>
          <w:color w:val="000000"/>
          <w:sz w:val="20"/>
        </w:rPr>
        <w:t>Our operations are exposed to operational, economic, political and regulatory risks.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operate in the US, Canada, and Mexico. For the year ended December 31, 2023, approximately 94%, 5%, and 1% of our revenue was generated in the US, Canada, and Mexico, respectively. Our operations in any of these countries could be affected by foreign and domestic economic, political and regulatory risks, including (a) regulatory requirements that are subject to change and that could restrict our ability to assemble, lease or sell products; (b) economic downturns, inflationary and recessionary markets, including in capital and equity markets, fluctuations in foreign currency exchange and interest rates; (c) trade protection measures, including increased duties and taxes and import or export licensing requirements; (d) compliance with applicable antitrust and other regulatory rules and regulations relating to potential acquisitions; (e) different local product preferences and product requirements; (f) pressures on management time and attention due to the complexities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31"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of overseeing multi-national operations; (g) challenges in maintaining staffing; (h) different labor regulations and the potential impact of collective bargaining; (i) potentially adverse consequences from changes in, or interpretations of, tax laws; (j) potentially adverse consequences from change in, or interpretation of, securities laws and other financial reporting regulations; (k) political and economic instability; (l) enforcement of remedies in various jurisdictions; (m) the risk that the business partners upon whom we depend for technical assistance will not perform as expected; (n) compliance with applicable export control laws and economic sanctions laws and regulations; (o) price controls and ownership regulations; (p) obstacles to the repatriation of earnings and cash; (q) differences in business practices that may result in violation of Company policies, including, but not limited to, bribery and collusive practices; and (r) reduced protection for intellectual property in some countries. Additionally, any sustained international conflict may have a negative economic or other impact on the markets we serve, our operations and financial results. These and other risks may materially adversely affect our business, results of operations and financial condition.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Effective management of our fleet is vital to our business, and our failure to properly safeguard, design, manufacture, repair, maintain and manage our fleet could harm our business and reduce our operating results and cash flows.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modular space and portable storage units have long economic lives and managing our fleet is a critical element to our leasing business. Rental equipment asset management requires designing and building long-lived products that anticipate customer needs and changes in legislation, regulations, building codes and local permitting in the various markets in which we operate. In addition, we must cost-effectively maintain and repair our fleet to maximize the economic life of the products and the proceeds we receive from product sales. As the needs of our customers change, we may incur costs to relocate or retrofit our assets to better meet shifts in demand. If the distribution of our assets is not aligned with regional demand, we may be unable to take advantage of sales and leasing opportunities in certain regions, despite excess inventory in other regions. If we are not able to successfully manage our lease assets, our business, results of operations and financial condition may be materially adversely affected.</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If we do not appropriately manage the design, manufacture, repair and maintenance of our product fleet, or if we delay or defer such repair or maintenance or suffer unexpected losses of rental equipment due to theft or obsolescence, we may be required to incur impairment charges for equipment that is beyond economic repair or incur significant capital expenditures to acquire new rental equipment to serve demand. These failures may also result in personal injury or property damage claims, including claims based on poor indoor air quality and termination of leases or contracts by customers. Costs of contract performance, potential litigation and profits lost from termination could materially adversely affect our future operating results and cash flows. If a significant number of leased units are returned in a short period of time, a large supply of units would need to be remarketed. Our failure to effectively remarket a large influx of units returning from leases could materially adversely affect our financial performance.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Changes in state building codes could adversely impact our ability to remarket our buildings, which could have a material adverse impact on our business, financial condition and results of operations.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Building codes are generally reviewed, debated and, in certain cases, modified on a national level every three years as an ongoing effort to keep the regulations current and improve the life, safety and welfare of the buildings' occupants. All aspects of a given code are subject to change, including, but not limited to, such items as structural specifications for earthquake safety, energy efficiency and environmental standards, fire and life safety, transportation, lighting and noise limits. On occasion, state agencies have undertaken studies of indoor air quality and noise levels with a focus on permanent and modular classrooms. This process leads to a systematic change that requires engagement in the process and recognition that past methods will not always be accepted. New modular construction is very similar to conventional construction where newer codes and regulations generally increase cost. New governmental regulations may increase our costs to acquire new rental equipment, as well as increase our costs to refurbish existing equipment.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Compliance with building codes and regulations entails risk as state and local government authorities do not necessarily interpret building codes and regulations in a consistent manner, particularly where applicable regulations may be unclear and subject to interpretation. These regulations often provide broad discretion to governmental authorities that oversee these matters, which can result in unanticipated delays or increases in the cost of compliance in particular markets. The construction and modular industries have developed many “best practices” which are constantly evolving. Some of our peers and competitors may adopt practices that are more or less stringent than ours. When, and if, regulators clarify regulatory standards, the effect of the clarification may be to impose rules on our business and practices retroactively, at which time we may not be in compliance with such regulations and we may be required to incur costly remediation. If we are unable to pass these increased costs on to our customers, our business, financial condition, operating cash flows and results of operations could be negatively impacted.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Our operations face foreign currency exchange rate exposure, which may materially adversely affect our business, results of operations and financial condition.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hold assets, incur liabilities, earn revenue and pay expenses in certain currencies other than the US Dollar, primarily the Canadian Dollar and the Mexican Peso. Our consolidated financial results are denominated in US Dollars, and therefore, during times of a strengthening US Dollar, our reported revenue in non-US Dollar jurisdictions will be reduced because the local currency will translate into fewer US Dollars. Revenue and expenses are translated into US Dollars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32"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average exchange rate for the period. In addition, the assets and liabilities of our non-US Dollar subsidiaries are translated into US Dollars at the exchange rates in effect on the balance sheet date. Foreign currency exchange adjustments arising from certain intercompany obligations with and between our domestic companies and our foreign subsidiaries are marked-to-market and recorded as a non-cash loss or gain in each of our financial periods in our consolidated statements of operations. Accordingly, changes in currency exchange rates will cause our foreign currency translation adjustment in the consolidated statements of comprehensive income (loss) to fluctuate. In addition, fluctuations in foreign currency exchange rates will impact the amount of US Dollars we receive when we repatriate funds from our non-US Dollar operations.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Significant increases in the costs and restrictions on the availability of raw materials and labor could increase our operating costs significantly and harm our profitability.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incur labor costs and purchase raw materials, including steel, lumber, siding and roofing, paint, glass, fuel and other parts and materials to perform periodic repairs, modifications and refurbishments to maintain physical conditions of our units and in connection with get-ready, delivery and installation of our units. The volume, timing and mix of such work may vary quarter-to-quarter and year-to-year. Generally, increases in labor and raw material costs will increase the acquisition costs of new units and also increase the repair and maintenance costs of our fleet. We also maintain a truck fleet to deliver units to and return units from our customers, the cost of which is sensitive to maintenance, replacement, fuel costs, and rental rates on leased equipment. During periods of rising prices for labor or raw materials, and in particular, when the prices increase rapidly or to levels significantly higher than normal, we may incur significant increases in our acquisition costs for new units and higher operating costs that we may not be able to recoup from customers through changes in pricing, which could materially adversely affect our business, results of operations and financial condition. If raw material prices decline significantly, we may have to write down our raw materials inventory values. If this happens, our results of operations and financial condition could decline.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addition, the availability of raw materials components fluctuates from time to time due to factors outside of our control, including trade laws and tariffs, natural disasters, global pandemics, military conflicts, supply chain constraints and disruptions, and may impact our ability to meet the production demands of our customers. If the costs of raw materials increase or the availability thereof is restricted, it could adversely affect our financial condition, operating results and cash flows.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Fluctuations in fuel costs or a reduction in fuel supplies may have a material adverse effect on our business and results of operations.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connection with our business, to better serve our customers and optimize our capital expenditures, we often move our fleet from branch to branch. In addition, most of our customers arrange for delivery and pickup of our units through us. Accordingly, we could be materially adversely affected by significant increases in fuel prices that result in higher costs to us for transporting equipment. In the event of fuel and trucking cost increases, we may not be able to promptly raise our prices to make up for increased costs. A significant or prolonged price fluctuation or disruption of fuel supplies could have a material adverse effect on our financial condition and results of operations.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Third parties may fail to manufacture or provide necessary components for our products properly or in a timely manner.</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are often dependent on third parties to manufacture or supply components for our products. We typically do not enter into long-term contracts with third-party suppliers. We may experience supply problems as a result of financial or operating difficulties or the failure or consolidation of our suppliers. We may also experience supply problems as a result of shortages and discontinuations resulting from product obsolescence or other shortages or allocations by suppliers. Unfavorable economic conditions may also adversely affect our suppliers or the terms on which we purchase products. In the future, we may not be able to negotiate arrangements with third parties to secure products that we require in sufficient quantities or on reasonable terms. If we cannot negotiate arrangements with third parties to produce our products or if the third parties fail to produce our products to our specifications or in a timely manner, our business, results of operations and financial condition may be materially adversely affected.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If we determine that our goodwill, intangible assets, and indefinite-life intangible assets have become impaired, we may incur impairment charges, which may adversely impact our operating results.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have a substantial amount of goodwill and indefinite-life intangible assets (trade names), which represents the excess of the total purchase price of our acquisitions over the fair value of the assets acquired, and other intangible assets. As of December 31, 2023, we had approximately $1,176.6 million and $419.7 million of goodwill and intangible assets, net, respectively, in our consolidated balance sheet, which represented approximately 19.2% and 6.8% of total assets, respectively, and primarily arose through our acquisition of Mobile Mini.</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evaluate goodwill and indefinite-lived intangible assets for impairment on an annual basis and when events occur or circumstances change that indicate that the fair value of the reporting unit or intangible asset may be below its carrying amount. Fair value determinations require considerable judgment and are sensitive to inherent uncertainties and changes in estimates and assumptions regarding revenue growth rates, EBIT margins, capital expenditures, working capital requirements, tax rates, terminal growth rates, discount rates, exchange rates, royalty rates, benefits associated with a taxable transaction and synergistic benefits available to market participants. Impairment may result from, among other things, deterioration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33"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performance of the business, adverse market conditions, stock price and adverse changes in applicable laws and regulations, including changes that restrict our activities. Declines in market conditions, a trend of weaker than anticipated financial performance for our reporting units or declines in projected revenue, a decline in our share price for a sustained period of time, an increase in the market-based weighted average cost of capital or a decrease in royalty rates, among other factors, are indicators that the carrying value of our goodwill or indefinite-life intangible assets may not be recoverable. In the event impairment is identified, a charge to earnings would be recorded which may materially adversely affect our financial condition and results of operations.</w:t>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Risks Relating to Income Tax</w:t>
      </w:r>
    </w:p>
    <w:p>
      <w:pPr>
        <w:pStyle w:val="TextBody"/>
        <w:bidi w:val="0"/>
        <w:spacing w:lineRule="auto" w:line="288" w:before="0" w:after="60"/>
        <w:jc w:val="both"/>
        <w:rPr/>
      </w:pPr>
      <w:r>
        <w:rPr>
          <w:rFonts w:ascii="Arial;sans-serif" w:hAnsi="Arial;sans-serif"/>
          <w:b/>
          <w:color w:val="000000"/>
          <w:sz w:val="20"/>
        </w:rPr>
        <w:t>Our ability to use our net operating los</w:t>
      </w:r>
      <w:r>
        <w:rPr>
          <w:rFonts w:ascii="Arial;sans-serif" w:hAnsi="Arial;sans-serif"/>
          <w:b/>
          <w:color w:val="000000"/>
          <w:sz w:val="20"/>
          <w:shd w:fill="FFFFFF" w:val="clear"/>
        </w:rPr>
        <w:t>s carryforwards and other tax attributes may be limited.</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A</w:t>
      </w:r>
      <w:r>
        <w:rPr>
          <w:rFonts w:ascii="Arial;sans-serif" w:hAnsi="Arial;sans-serif"/>
          <w:b w:val="false"/>
          <w:color w:val="000000"/>
          <w:sz w:val="18"/>
        </w:rPr>
        <w:t xml:space="preserve">s of December 31, 2023, </w:t>
      </w:r>
      <w:r>
        <w:rPr>
          <w:rFonts w:ascii="Arial;sans-serif" w:hAnsi="Arial;sans-serif"/>
          <w:b w:val="false"/>
          <w:color w:val="000000"/>
          <w:sz w:val="18"/>
          <w:shd w:fill="FFFFFF" w:val="clear"/>
        </w:rPr>
        <w:t xml:space="preserve">we had US net operating loss (“NOL”) carryforwards of approximately </w:t>
      </w:r>
      <w:r>
        <w:rPr>
          <w:rFonts w:ascii="Arial;sans-serif" w:hAnsi="Arial;sans-serif"/>
          <w:b w:val="false"/>
          <w:color w:val="000000"/>
          <w:sz w:val="18"/>
        </w:rPr>
        <w:t>$465.2 million</w:t>
      </w:r>
      <w:r>
        <w:rPr>
          <w:color w:val="000000"/>
          <w:shd w:fill="FFFFFF" w:val="clear"/>
        </w:rPr>
        <w:t xml:space="preserve"> </w:t>
      </w:r>
      <w:r>
        <w:rPr>
          <w:rFonts w:ascii="Arial;sans-serif" w:hAnsi="Arial;sans-serif"/>
          <w:b w:val="false"/>
          <w:color w:val="000000"/>
          <w:sz w:val="18"/>
          <w:shd w:fill="FFFFFF" w:val="clear"/>
        </w:rPr>
        <w:t xml:space="preserve">and </w:t>
      </w:r>
      <w:r>
        <w:rPr>
          <w:rFonts w:ascii="Arial;sans-serif" w:hAnsi="Arial;sans-serif"/>
          <w:b w:val="false"/>
          <w:color w:val="000000"/>
          <w:sz w:val="18"/>
        </w:rPr>
        <w:t>$240.3 million</w:t>
      </w:r>
      <w:r>
        <w:rPr>
          <w:color w:val="000000"/>
          <w:shd w:fill="FFFFFF" w:val="clear"/>
        </w:rPr>
        <w:t xml:space="preserve"> </w:t>
      </w:r>
      <w:r>
        <w:rPr>
          <w:rFonts w:ascii="Arial;sans-serif" w:hAnsi="Arial;sans-serif"/>
          <w:b w:val="false"/>
          <w:color w:val="000000"/>
          <w:sz w:val="18"/>
          <w:shd w:fill="FFFFFF" w:val="clear"/>
        </w:rPr>
        <w:t xml:space="preserve">for US federal income tax and state tax purposes, respectively, available to offset future taxable income, prior to consideration of annual limitations that Section 382 of the Internal Revenue Code of 1986 may impose. The US NOL carryforwards begin to expire in </w:t>
      </w:r>
      <w:r>
        <w:rPr>
          <w:rFonts w:ascii="Arial;sans-serif" w:hAnsi="Arial;sans-serif"/>
          <w:b w:val="false"/>
          <w:color w:val="000000"/>
          <w:sz w:val="18"/>
        </w:rPr>
        <w:t>2025</w:t>
      </w:r>
      <w:r>
        <w:rPr>
          <w:color w:val="000000"/>
          <w:shd w:fill="FFFFFF" w:val="clear"/>
        </w:rPr>
        <w:t xml:space="preserve"> </w:t>
      </w:r>
      <w:r>
        <w:rPr>
          <w:rFonts w:ascii="Arial;sans-serif" w:hAnsi="Arial;sans-serif"/>
          <w:b w:val="false"/>
          <w:color w:val="000000"/>
          <w:sz w:val="18"/>
          <w:shd w:fill="FFFFFF" w:val="clear"/>
        </w:rPr>
        <w:t xml:space="preserve">for state and 2037 for federal if not utilized.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US NOL and tax credit carryforwards could expire unused and be unavailable to offset future income tax liabilities. Under Section 382 of the Internal Revenue Code and corresponding provisions of US state law, if a corporation undergoes an “ownership change,” generally defined as a greater than 50% change, by value, in its equity ownership over a three-year period, the corporation’s ability to use its US NOLs and other applicable tax attributes before the ownership change, such as research and development tax credits, to offset its income after the ownership change may be limited. Similar provisions apply with respect to certain state and non-US jurisdictions which could limit our ability to offset taxable income. In addition, at the state level, there may be periods during which the use of NOLs is suspended or otherwise limited, which could accelerate or permanently increase state taxes owed. We have tax attributes subject to the foregoing provisions primarily from the Merger.</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Lastly,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may result in increased future tax obligations and income tax expense.</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Some of the tax loss carryforwards could expire, and if we do not have sufficient taxable income in future years to use the tax benefits before they expire, the benefit may be permanently lost. In addition, the taxing authorities could challenge our calculation of the amount of our tax attributes, which could reduce certain of our recognized tax benefits. Further, tax laws in certain jurisdictions may limit the ability to use carryforwards upon a change in control.</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may be unable to recognize deferred tax assets such as those related to our tax loss carryforwards and, as a result, lose future tax savings, which could have a negative impact on our liquidity and financial position.</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recognize deferred tax assets primarily related to deductible temporary differences based on our assessment that the item will be utilized against future taxable income and the benefit will be sustained upon ultimate settlement with the applicable taxing authority. Such deductible temporary differences primarily relate to tax loss carryforwards and business interest expense limitations. Tax loss carryforwards arising in a given tax jurisdiction may be carried forward to offset taxable income in future years from such tax jurisdiction and reduce or eliminate income taxes otherwise payable on such taxable income, subject to certain limitations. Deferred interest expense exists primarily within our US operating companies, where interest expense was not previously deductible as incurred but may become deductible in the future subject to certain limitations. We may have to write down, through income tax expense, the carrying amount of certain deferred tax assets to the extent we determine it is not probable that we will realize such deferred tax assets under accounting principles generally accepted in the US.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Unanticipated changes in our tax obligations, the adoption of a new tax legislation, or exposure to additional income tax liabilities could affect profitability.</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We are subject to income taxes in the US, Canada and Me</w:t>
      </w:r>
      <w:r>
        <w:rPr>
          <w:rFonts w:ascii="Arial;sans-serif" w:hAnsi="Arial;sans-serif"/>
          <w:b w:val="false"/>
          <w:color w:val="000000"/>
          <w:sz w:val="18"/>
        </w:rPr>
        <w:t>xico. Our tax liab</w:t>
      </w:r>
      <w:r>
        <w:rPr>
          <w:rFonts w:ascii="Arial;sans-serif" w:hAnsi="Arial;sans-serif"/>
          <w:b w:val="false"/>
          <w:color w:val="000000"/>
          <w:sz w:val="18"/>
          <w:shd w:fill="FFFFFF" w:val="clear"/>
        </w:rPr>
        <w:t>ilities are affected by the amounts we charged for inventory, services, funding and other transactions on an intercompany basis. We are subject to potential tax examinations in these jurisdictions. Tax authorities may disagree with our intercompany charges, cross-jurisdictional transfer pricing or other tax positions and assess additional taxes. We regularly assess the likely outcomes of these examinations to determine the appropriateness of our tax provision. However, there can be no assurance that we will accurately predict the outcomes of these potential examinations, and the amounts that we ultimately pay upon resolution of examinations could be materially different from the amounts we previously included in our income tax provision and, therefore, could have a material impact on our results of operations and cash flows. In addition, our future effective tax rate could be adversely affected by changes to our operating structure, changes in the mix of earnings in countries with differing statutory tax rates, changes in the valuation allowance of deferred tax assets, changes in tax laws and the discovery of new information during our tax return preparation process. Changes in tax laws or regulations, including changes in the US related to the treatment of accelerated depreciation expense, carry-forwards of net operating losses, and taxation of foreign income and expenses may increase tax uncertainty and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34"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Risks Relating to Our Capital Structure</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Global capital and credit market conditions could materially and adversely affect our ability to access the capital and credit markets or the ability of key counterparties to perform their obligations to us.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the future we may need to raise additional funds to, among other things, refinance existing indebtedness, fund existing operations, improve or expand our operations, respond to competitive pressures or make acquisitions. If adequate funds are not available on acceptable terms, we may be unable to achieve our business or strategic objectives or compete effectively. Our ability to pursue certain future opportunities may depend in part on our ongoing access to debt and equity capital markets. We cannot assure you that any such financing will be available on terms satisfactory to us or at all. If we are unable to obtain financing on acceptable terms, we may have to curtail our growth by, among other things, curtailing the expansion of our fleet of units or our acquisition strategy. Additionally, future credit market conditions could increase the likelihood that one or more of our lenders may be unable to honor their commitments under our credit facility, which could have an adverse effect on our financial condition and results of operations. </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 xml:space="preserve">Economic disruptions affecting key counterparties could also materially adversely affect our business. We monitor the financial strength of our larger customers, derivative counterparties, lenders, vendors, service providers and insurance carriers on a periodic basis using publicly-available information to evaluate our exposure to those who have or who we believe may likely experience significant threats to their ability to adequately perform their obligations to us. The information available will differ from counterparty to counterparty and </w:t>
      </w:r>
      <w:r>
        <w:rPr>
          <w:rFonts w:ascii="Arial;sans-serif" w:hAnsi="Arial;sans-serif"/>
          <w:b w:val="false"/>
          <w:color w:val="000000"/>
          <w:sz w:val="18"/>
        </w:rPr>
        <w:t>may be insufficient for us to adequately interpret or evaluate our exposure and/or determine appropriate or timely responses.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Our leverage may make it difficult for us to service our debt and operate our business.</w:t>
      </w:r>
    </w:p>
    <w:p>
      <w:pPr>
        <w:pStyle w:val="TextBody"/>
        <w:bidi w:val="0"/>
        <w:spacing w:lineRule="auto" w:line="288" w:before="0" w:after="60"/>
        <w:ind w:left="0" w:right="0" w:firstLine="720"/>
        <w:jc w:val="both"/>
        <w:rPr/>
      </w:pPr>
      <w:r>
        <w:rPr>
          <w:rFonts w:ascii="Arial;sans-serif" w:hAnsi="Arial;sans-serif"/>
          <w:b w:val="false"/>
          <w:color w:val="000000"/>
          <w:sz w:val="18"/>
        </w:rPr>
        <w:t>As of December 31, 2023, we had $3.6 billion of total indebtedness, excluding deferred financing fees, consisting of $2.0 billion of borrowings under our ABL Facility, $526.5 million of our 2025 Secured Notes, $500.0 million of our 2028 Secured Notes, $500.0 million of our 2031 Secured Notes, and $117.1 million of finance leases. Our leverage could have important consequences, including (a) making it more difficult to satisfy our obligations with respect to our various debt and liabilities; (b) requiring us to dedicate a substantial portion of our cash flow from operations to debt payments, thus reducing the availability of cash flow to fund internal growth through working capital and capital expenditure on our existing fleet or a new fleet and for other general corporate p</w:t>
      </w:r>
      <w:r>
        <w:rPr>
          <w:rFonts w:ascii="Arial;sans-serif" w:hAnsi="Arial;sans-serif"/>
          <w:b w:val="false"/>
          <w:color w:val="000000"/>
          <w:sz w:val="18"/>
          <w:shd w:fill="FFFFFF" w:val="clear"/>
        </w:rPr>
        <w:t>urposes; (c) increasing our vulnerability to a downturn in our business or adverse economic or industry conditions; (d) placing us at a competitive disadvantage compared to our competitors that have less debt in relation to cash flow and that, therefore, may be able to take advantage of opportunities that our leverage would prevent us from pursuing; (e) limiting our flexibility in planning for or reacting to changes in our business and industry; (f) restricting us from pursuing strategic acquisitions or exploiting certain business opportunities or causing us to make non-strategic divestitures; restricting us from pursuing strategic acquisitions or exploiting certain business opportunities or causing us to make non-strategic divestitures; (g) requiring additional monitoring, reporting and borrowing base requirements under our ABL Facility if borrowings significantly increase or if certain liquidity thresholds are not satisfied; and (h) limiting our ability to borrow additional funds or raise equity capital in the future and increasing the costs of such additional financings.</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Our ability to meet our debt service obligations or to refinance our debt depends on our future operating and financial performance, which will be affected by our ability to successfully implement our business strategy as well as general economic, financial, competitive, regulatory and other factors beyond our control. If our business does not generate sufficient cash flow from operations, or if future borrowings are not available to us in an amount sufficient to enable us to pay our indebtedness or to fund our other liquidity needs, we may need to refinance all or a portion of our indebtedness on or before its maturity, sell assets, reduce or delay capital investments or seek to raise additional capital, any of which could have a material adverse effect on our operations. In addition, we may not be able to affect any of these actions, if necessary, on commercially reasonable terms or at all. Any refinancing of our debt could be at higher interest rates and may require us to comply with more onerous covenants, which could further restrict our business operations. The terms of our existing or future debt instruments may limit or prevent us from taking any of these actions</w:t>
      </w:r>
      <w:r>
        <w:rPr>
          <w:rFonts w:ascii="Arial;sans-serif" w:hAnsi="Arial;sans-serif"/>
          <w:b w:val="false"/>
          <w:color w:val="000000"/>
          <w:sz w:val="18"/>
        </w:rPr>
        <w:t>. If we default on the payments required under the terms of certain of our indebtedness, that indebtedness, together with debt incurred pursuant to other debt agreements or instruments that contain cross-default or cross-acceleration provisions, may become payable on demand, and we may not have sufficient funds to repay all of our debts. As a result, our inability to generate sufficient cash flow to satisfy our debt service obligations, or to refinance or restructure our obligations on commercially reasonable terms or at all, would have an adverse effect, which could be material, on our business, financial condition and results of operations, as well as on our ability to satisfy our debt obligations</w:t>
      </w:r>
      <w:r>
        <w:rPr>
          <w:rFonts w:ascii="Arial;sans-serif" w:hAnsi="Arial;sans-serif"/>
          <w:b w:val="false"/>
          <w:color w:val="000000"/>
          <w:sz w:val="24"/>
          <w:shd w:fill="FFFFFF" w:val="clear"/>
        </w:rPr>
        <w:t>.</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Despite our current level of indebtedness, we and our subsidiaries will still be able to incur significant additional amounts of debt, which could further exacerbate the risks associated with our substantial indebtedness.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and our subsidiaries may be able to incur substantial additional debt in the future, including in connection with capital leases. Although the credit agreement that governs our credit facility and the indentures that govern our outstanding notes contain restrictions on the incurrence of additional debt, these restrictions are subject to a number of significant qualifications and exceptions, and under certain circumstances, the amount of debt that we could incur in compliance with these restrictions could be substantial. In addition, the credit agreement that governs our credit facility and the indentures do not prevent us from incurring other obligations that do not constitute indebtedness under those agreements. If we add debt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35"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and our subsidiaries’ existing debt levels, the risks associated with our substantial indebtedness described above, including our possible inability to service our debt, will increase.</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We are subject to and may, in the future become subject to, covenants that limit our operating and financial flexibility and, if we default under our debt covenants, we may not be able to meet our payment obligations.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credit agreement that governs our credit facility and the indentures that govern our outstanding notes, as well as any instruments that govern any future debt obligations, contain covenants that impose significant restrictions on the way our subsidiaries can operate, including restrictions on the ability to (a) incur or guarantee additional debt and issue certain types of stock; (b) create or incur certain liens; (c) make certain payments, including dividends or other distributions, with respect to our equity securities; (d) prepay or redeem junior debt; (e) make certain investments or acquisitions, including participating in joint ventures; (f) engage in certain transactions with affiliates; (g) create unrestricted subsidiaries; (h) create encumbrances or restrictions on the payment of dividends or other distributions, loans or advances to, and on the transfer of, assets to the issuer or any restricted subsidiary; (i) sell assets, consolidate or merge with or into other companies; (j) sell or transfer all or substantially all our assets or those of our subsidiaries on a consolidated basis; and (k) issue or sell share capital of certain subsidiaries.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Although these limitations are subject to significant exceptions and qualifications, these covenants could limit our ability to finance future operations and capital needs and our ability to pursue acquisitions and other business activities that may be in our interest. Our subsidiaries’ ability to comply with these covenants and restrictions may be affected by events beyond our control. These include prevailing economic, financial and industry conditions. If any of our subsidiaries default on their obligations under our credit facility or our secured notes, then the relevant lenders or holders could elect to declare the debt, together with accrued and unpaid interest and other fees, if any, immediately due and payable and proceed against any collateral securing that debt. If the debt under our credit facility, the indentures or any other material financing arrangement that we enter into were to be accelerated, our assets may be insufficient to repay in full such indebtedness.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credit agreement that governs our credit facility also requires our subsidiaries to satisfy specified financial maintenance tests in the event that we do not satisfy certain excess liquidity requirements. Deterioration in our operating results, as well as events beyond our control, including increases in raw materials prices and unfavorable economic conditions, could affect the ability to meet these tests, and we cannot assure that we will meet these tests. If an event of default occurs under our credit facility, the lenders could terminate their commitments and declare all amounts borrowed, together with accrued and unpaid interest and other fees, to be immediately due and payable. Borrowings under other debt instruments that contain cross-acceleration or cross-default provisions also may be accelerated or become payable on demand. In these circumstances, our assets may not be sufficient to repay in full that indebtedness and our other indebtedness then outstanding.</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amount of borrowings permitted at any time under our credit facility is subject to compliance with limits based on a periodic borrowing base valuation of the collateral thereunder. As a result, our access to credit under the credit facility is subject to potential fluctuations depending on the value of the borrowing base of eligible assets as of any measurement date, as well as certain discretionary rights of the agent in respect of the calculation of such borrowing base value. As a result of any change in valuation, the availability under the credit facility may be reduced, or we may be required to make a repayment of the credit facility, which may be significant. The inability to borrow under the credit facility or the use of available cash to repay the credit facility as a result of a valuation change may adversely affect our liquidity, results of operations and financial position.</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The historical market price of WillScot Mobile Mini’s Common Stock has been volatile and the market price of our Common Stock may continue to be volatile and the value of your investment may decline.</w:t>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historical market price of our Common Stock has been volatile and the market price of our Common Stock may continue to be volatile moving forward. Volatility may cause wide fluctuations in the price of our Common Stock on Nasdaq. The market price of our Common Stock is likely to be affected by (a) changes in general conditions in the economy, geopolitical events or the financial markets; (b) variations in our quarterly operating results; (c) changes in financial estimates by securities analysts; (d) our share repurchase or dividend policies; (e) other developments affecting us, our industry, customers or competitors; (f) changes in demand for our products or the prices we charge due to changes in economic conditions, competition or other factors; (g) general economic conditions in the markets where we operate; (h) the cyclical nature of our customers’ businesses and certain end markets that we service; (i) rental rate changes in response to competitive factors; (j) bankruptcy or insolvency of our customers, thereby reducing demand for our used units; (k) seasonal rental patterns; (l) acquisitions or divestitures and related costs; (m) labor shortages, work stoppages or other labor difficulties; (n) possible unrecorded liabilities of acquired companies; (o) possible write-offs or exceptional charges due to changes in applicable accounting standards, goodwill impairment, or divestiture or impairment of assets; (p) the operating and stock price performance of companies that investors deem comparable to us; (q) the number of shares available for resale in the public markets under applicable securities laws; (r) the composition of our shareholder base; and (s) other unspecified circumstances that may be company specific circumstances or overall industry and market driven.</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36"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Risks Related to the McGrath Acquisition</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The McGrath Acquisition may not be completed within the expected timeframe, if at all, and the failure to complete the McGrath Acquisition, or the failure to realize the anticipated synergies from the McGrath Acquisition, may negatively affect the price of our common stock and could adversely affect our financial results.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McGrath Acquisition is subject to risks and uncertainties, including: (i) the risk that it may not be completed, or completed within the expected timeframe, including as a result of the possibility that a governmental entity may prohibit, delay or refuse an approval required to complete the acquisition; or (ii) costs relating to the acquisition, including the financing thereof, may be greater than expected. If the McGrath Acquisition is not completed, or there are significant delays in completing the McGrath Acquisition, the trading price of our common stock could be negatively impacted and our business and financial results may be adversely affected. The failure to consummate the McGrath Acquisition could also result in a negative reaction from the financial markets, particularly if the current market prices reflect market assumptions that the McGrath Acquisition will be completed, which could cause the value of our common stock to decline.</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Additionally, the anticipated benefits of the McGrath Acquisition, including anticipated cost savings, will depend on our ability to realize anticipated synergies. Our success in realizing these cost synergies, and the timing thereof, will depend our ability to integrate McGrath successfully. Even if we integrate McGrath successfully, we may not realize the full benefits of the anticipated cost synergies, and we cannot guarantee that these benefits will be achieved within anticipated timeframes or at all. For example, we may not be able to eliminate duplicative costs. Moreover, we may incur unanticipated expenses in connection with the integration. While it is anticipated that certain expenses will be incurred to achieve cost synergies, such expenses are difficult to estimate accurately and may exceed current estimates. Accordingly, the benefits from the McGrath Acquisition may be offset by costs incurred to, or delays in, integrating the businesses.</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2160"/>
        <w:jc w:val="both"/>
        <w:rPr>
          <w:rFonts w:ascii="Arial;sans-serif" w:hAnsi="Arial;sans-serif"/>
          <w:b/>
          <w:color w:val="000000"/>
          <w:sz w:val="44"/>
        </w:rPr>
      </w:pPr>
      <w:r>
        <w:rPr>
          <w:rFonts w:ascii="Arial;sans-serif" w:hAnsi="Arial;sans-serif"/>
          <w:b/>
          <w:color w:val="000000"/>
          <w:sz w:val="44"/>
        </w:rPr>
        <w:t>ITEM 1B.    Unresolved Staff Comments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2160"/>
        <w:jc w:val="both"/>
        <w:rPr>
          <w:rFonts w:ascii="Arial;sans-serif" w:hAnsi="Arial;sans-serif"/>
          <w:b/>
          <w:color w:val="000000"/>
          <w:sz w:val="44"/>
        </w:rPr>
      </w:pPr>
      <w:r>
        <w:rPr>
          <w:rFonts w:ascii="Arial;sans-serif" w:hAnsi="Arial;sans-serif"/>
          <w:b/>
          <w:color w:val="000000"/>
          <w:sz w:val="44"/>
        </w:rPr>
        <w:t>ITEM 1C.    Cybersecurity</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Board of Directors is committed to maintaining a strong cybersecurity and data protection framework intended to protect our customers, shareholders, employees, and other stakeholders, as well as the integrity of our operations. Our Board is involved in the oversight of the Company’s cybersecurity risk management efforts. Our cybersecurity risk management consists of a set of processes designed to assess, identify and effectively manage material risks arising from cybersecurity and data protection threats. These processes are aligned with the Framework for Improving Critical Infrastructure Cybersecurity established by the National Institute of Standards and Technology. Our processes have been integrated into our overall risk management system, consistent with our commitment to safeguarding our operations and data on a Company-wide basis. Our cybersecurity risk management efforts are overseen by our Audit Committee in collaboration with individual members of our management team, specifically our Chief Information Officer, Chief Legal Officer, and Vice President of Risk Management. Generally, our cybersecurity risk management efforts seek to address cybersecurity risks and incident response through a comprehensive, cross-functional approach that is focused on preserving the confidentiality, security and availability of the information we collect by identifying, preventing and mitigating cybersecurity threats and effectively responding to incidents when they occur. Our efforts also emphasize continuity of systems to ensure minimal disruption and maintain operational integrity during cybersecurity threats and incidents. We regularly review and update our contingency plans, aiming to enhance the resilience of our operations and the consistent functionality of our systems in the face of potential disruptions.</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Risk Management and Strategy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part of the Company’s overall approach to cybersecurity, the Company’s cybersecurity risk management processes are focused on the following key areas. </w:t>
      </w:r>
    </w:p>
    <w:p>
      <w:pPr>
        <w:pStyle w:val="TextBody"/>
        <w:bidi w:val="0"/>
        <w:spacing w:lineRule="auto" w:line="288" w:before="0" w:after="60"/>
        <w:ind w:left="0" w:right="0" w:firstLine="720"/>
        <w:jc w:val="both"/>
        <w:rPr/>
      </w:pPr>
      <w:r>
        <w:rPr>
          <w:rFonts w:ascii="Arial;sans-serif" w:hAnsi="Arial;sans-serif"/>
          <w:b w:val="false"/>
          <w:color w:val="000000"/>
          <w:sz w:val="18"/>
          <w:u w:val="single"/>
        </w:rPr>
        <w:t>Governance</w:t>
      </w:r>
      <w:r>
        <w:rPr>
          <w:rFonts w:ascii="Arial;sans-serif" w:hAnsi="Arial;sans-serif"/>
          <w:b w:val="false"/>
          <w:color w:val="000000"/>
          <w:sz w:val="18"/>
        </w:rPr>
        <w:t xml:space="preserve">: As discussed in more detail under the “Governance” heading, the Audit Committee provides oversight of the Company’s cybersecurity risk management processes in collaboration with our Chief Information Officer, Chief Legal Officer, Vice President of Risk Management, information technology team and other internal and external experts. </w:t>
      </w:r>
    </w:p>
    <w:p>
      <w:pPr>
        <w:pStyle w:val="TextBody"/>
        <w:bidi w:val="0"/>
        <w:spacing w:lineRule="auto" w:line="288" w:before="0" w:after="60"/>
        <w:ind w:left="0" w:right="0" w:firstLine="720"/>
        <w:jc w:val="both"/>
        <w:rPr/>
      </w:pPr>
      <w:r>
        <w:rPr>
          <w:rFonts w:ascii="Arial;sans-serif" w:hAnsi="Arial;sans-serif"/>
          <w:b w:val="false"/>
          <w:color w:val="000000"/>
          <w:sz w:val="18"/>
          <w:u w:val="single"/>
        </w:rPr>
        <w:t>Collaborative Approach</w:t>
      </w:r>
      <w:r>
        <w:rPr>
          <w:rFonts w:ascii="Arial;sans-serif" w:hAnsi="Arial;sans-serif"/>
          <w:b w:val="false"/>
          <w:color w:val="000000"/>
          <w:sz w:val="18"/>
        </w:rPr>
        <w:t xml:space="preserve">: Our cybersecurity risk management efforts include the implementation of a comprehensive, cross-functional approach to identify, prevent and mitigate cybersecurity threats and incidents. We have various tools in place that allow us to monitor and address threats and incidents that have the potential to materially affect our business strategy, financial condition, and results of operations, which allows us to determine the materiality of and ensure timely public disclosure of any such threat or incident, as appropriate. </w:t>
      </w:r>
    </w:p>
    <w:p>
      <w:pPr>
        <w:pStyle w:val="TextBody"/>
        <w:bidi w:val="0"/>
        <w:spacing w:lineRule="auto" w:line="288" w:before="0" w:after="60"/>
        <w:ind w:left="0" w:right="0" w:firstLine="720"/>
        <w:jc w:val="both"/>
        <w:rPr/>
      </w:pPr>
      <w:r>
        <w:rPr>
          <w:rFonts w:ascii="Arial;sans-serif" w:hAnsi="Arial;sans-serif"/>
          <w:b w:val="false"/>
          <w:color w:val="000000"/>
          <w:sz w:val="18"/>
          <w:u w:val="single"/>
        </w:rPr>
        <w:t>Technical Safeguards</w:t>
      </w:r>
      <w:r>
        <w:rPr>
          <w:rFonts w:ascii="Arial;sans-serif" w:hAnsi="Arial;sans-serif"/>
          <w:b w:val="false"/>
          <w:color w:val="000000"/>
          <w:sz w:val="18"/>
        </w:rPr>
        <w:t>: The Company deploys technical safeguards designed to protect our information systems from cybersecurity threats, including firewalls, intrusion prevention and detection systems, anti-malware functionality and access controls, all of which are evaluated and improved through vulnerability assessments on a periodic basis.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37"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pPr>
      <w:r>
        <w:rPr>
          <w:rFonts w:ascii="Arial;sans-serif" w:hAnsi="Arial;sans-serif"/>
          <w:b w:val="false"/>
          <w:color w:val="000000"/>
          <w:sz w:val="18"/>
          <w:u w:val="single"/>
        </w:rPr>
        <w:t>Incident Response and Recovery Plans</w:t>
      </w:r>
      <w:r>
        <w:rPr>
          <w:rFonts w:ascii="Arial;sans-serif" w:hAnsi="Arial;sans-serif"/>
          <w:b w:val="false"/>
          <w:color w:val="000000"/>
          <w:sz w:val="18"/>
        </w:rPr>
        <w:t>: The Company has established and maintains comprehensive incident response and recovery plans, which detail the steps to be taken from the initial internal reporting of a potential cybersecurity incident.</w:t>
      </w:r>
    </w:p>
    <w:p>
      <w:pPr>
        <w:pStyle w:val="TextBody"/>
        <w:bidi w:val="0"/>
        <w:spacing w:lineRule="auto" w:line="288" w:before="0" w:after="60"/>
        <w:ind w:left="0" w:right="0" w:firstLine="720"/>
        <w:jc w:val="both"/>
        <w:rPr/>
      </w:pPr>
      <w:r>
        <w:rPr>
          <w:rFonts w:ascii="Arial;sans-serif" w:hAnsi="Arial;sans-serif"/>
          <w:b w:val="false"/>
          <w:color w:val="000000"/>
          <w:sz w:val="18"/>
          <w:u w:val="single"/>
        </w:rPr>
        <w:t>Third Party Involvement and Risk Assessment</w:t>
      </w:r>
      <w:r>
        <w:rPr>
          <w:rFonts w:ascii="Arial;sans-serif" w:hAnsi="Arial;sans-serif"/>
          <w:b w:val="false"/>
          <w:color w:val="000000"/>
          <w:sz w:val="18"/>
        </w:rPr>
        <w:t>: We actively and routinely engage assessors, consultants, auditors and other relevant third parties with appropriate expertise in their respective fields for the purposes of effectively maintaining and improving the quality and effectiveness of our processes. We believe this allows us to employ best practices and reduce the risks associated with evolving cybersecurity and data protection threats. We have also implemented industry-recommended practices to oversee and identify threats associated with the use of our third-party service providers.</w:t>
      </w:r>
    </w:p>
    <w:p>
      <w:pPr>
        <w:pStyle w:val="TextBody"/>
        <w:bidi w:val="0"/>
        <w:spacing w:lineRule="auto" w:line="288" w:before="0" w:after="60"/>
        <w:ind w:left="0" w:right="0" w:firstLine="720"/>
        <w:jc w:val="both"/>
        <w:rPr/>
      </w:pPr>
      <w:r>
        <w:rPr>
          <w:rFonts w:ascii="Arial;sans-serif" w:hAnsi="Arial;sans-serif"/>
          <w:b w:val="false"/>
          <w:color w:val="000000"/>
          <w:sz w:val="18"/>
          <w:u w:val="single"/>
        </w:rPr>
        <w:t>Education and Awareness</w:t>
      </w:r>
      <w:r>
        <w:rPr>
          <w:rFonts w:ascii="Arial;sans-serif" w:hAnsi="Arial;sans-serif"/>
          <w:b w:val="false"/>
          <w:color w:val="000000"/>
          <w:sz w:val="18"/>
        </w:rPr>
        <w:t>: The Company provides regular, mandatory trainings for applicable personnel with the purpose of providing personnel with effective tools to address cybersecurity threats and incidents, and to effectively communicate our cybersecurity risk management processes, including all related information, security policies, standards, process and practices.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Certain cybersecurity threats have the potential to materially affect our business strategy, financial condition, and results of operations. These threats include the risk of cyberattacks that could result in the disruption of our business operations, loss of sensitive information or data and damage to our reputation with our customers, shareholders, and other stakeholders. We conduct periodic assessments of these threats, and we have developed action plans that are already implemented, or are currently underway to be implemented, based on the results of our periodic assessments.</w:t>
      </w: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Governance</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In accordance with our internal policies, our Chief Information Officer, Chief Legal Officer and Vice President of Risk Management, are tasked with certain oversight and management responsibilities related to the monitoring, prevention, mitigation and remediation of cybersecurity threats and incidents. These management members</w:t>
      </w:r>
      <w:r>
        <w:rPr>
          <w:color w:val="000000"/>
        </w:rPr>
        <w:t xml:space="preserve"> </w:t>
      </w:r>
      <w:r>
        <w:rPr>
          <w:rFonts w:ascii="Arial;sans-serif" w:hAnsi="Arial;sans-serif"/>
          <w:b w:val="false"/>
          <w:color w:val="000000"/>
          <w:sz w:val="18"/>
          <w:shd w:fill="FFFFFF" w:val="clear"/>
        </w:rPr>
        <w:t>report to the Audit Committee, and the Audit Committee reports to the full Board of Directors, as appropriate. These reports include updates on the Company’s cybersecurity risks and threats, the status of efforts to strengthen our information security systems, assessments of our cybersecurity risk management processes, recent developments, evolving standards, vulnerability assessments, third-party and independent reviews, the emerging threat landscape, technological trends and information security considerations arising with respect to the Company’s peers and third parties. These individuals enable</w:t>
      </w:r>
      <w:r>
        <w:rPr>
          <w:color w:val="000000"/>
        </w:rPr>
        <w:t xml:space="preserve"> </w:t>
      </w:r>
      <w:r>
        <w:rPr>
          <w:rFonts w:ascii="Arial;sans-serif" w:hAnsi="Arial;sans-serif"/>
          <w:b w:val="false"/>
          <w:color w:val="000000"/>
          <w:sz w:val="18"/>
        </w:rPr>
        <w:t>the Company to implement measures that help reduce and address the cybersecurity and data protection threats the Company faces. Such measures include, but are not limited to, disaster recovery and business continuity, solution monitoring, network resiliency and simplification, sensitive data security, employee training and testing, system functionality and stability, infrastructure upgrades and more.</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Audit Committee (i) periodically reviews the Company's policies related to cybersecurity and data protection, which include the assessment, identification and management of material risks, mitigation strategy, governance and incident reporting, (ii) routinely coordinates with management and the Board of Directors, as applicable, in exercising its oversight over cybersecurity matters, (iii) receives timely information related to cybersecurity threats and incidents that </w:t>
      </w:r>
      <w:r>
        <w:rPr>
          <w:rFonts w:ascii="Arial;sans-serif" w:hAnsi="Arial;sans-serif"/>
          <w:b w:val="false"/>
          <w:color w:val="000000"/>
          <w:sz w:val="18"/>
          <w:shd w:fill="FFFFFF" w:val="clear"/>
        </w:rPr>
        <w:t>meet specified materiality thresholds, as well as ongoing updates regarding any such threats or incidents until they have been addressed.</w:t>
      </w:r>
    </w:p>
    <w:p>
      <w:pPr>
        <w:pStyle w:val="TextBody"/>
        <w:bidi w:val="0"/>
        <w:spacing w:lineRule="auto" w:line="288" w:before="0" w:after="60"/>
        <w:ind w:left="0" w:right="0" w:firstLine="720"/>
        <w:jc w:val="both"/>
        <w:rPr/>
      </w:pPr>
      <w:r>
        <w:rPr>
          <w:rFonts w:ascii="Arial;sans-serif" w:hAnsi="Arial;sans-serif"/>
          <w:b w:val="false"/>
          <w:color w:val="000000"/>
          <w:sz w:val="18"/>
        </w:rPr>
        <w:t>Management consistently assesses, monitors and manages our cybersecurity practices to align with the evolving threat landscape.</w:t>
      </w:r>
      <w:r>
        <w:rPr>
          <w:color w:val="000000"/>
          <w:shd w:fill="FFFFFF" w:val="clear"/>
        </w:rPr>
        <w:t xml:space="preserve"> </w:t>
      </w:r>
      <w:r>
        <w:rPr>
          <w:rFonts w:ascii="Arial;sans-serif" w:hAnsi="Arial;sans-serif"/>
          <w:b w:val="false"/>
          <w:color w:val="000000"/>
          <w:sz w:val="18"/>
          <w:shd w:fill="FFFFFF" w:val="clear"/>
        </w:rPr>
        <w:t>Our cybersecurity risk management efforts are designed to protect the Company’s information systems from cybersecurity threats and to appropriately respond to any threats or incidents. Through ongoing communications, management and other applicable personnel monitor the prevention, detection, mitigation and remediation of cybersecurity threats and incidents in real time and report such threats and incidents to the Audit Committee and the Board, as appropriate.</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Company’s </w:t>
      </w:r>
      <w:r>
        <w:rPr>
          <w:rFonts w:ascii="Arial;sans-serif" w:hAnsi="Arial;sans-serif"/>
          <w:b w:val="false"/>
          <w:color w:val="000000"/>
          <w:sz w:val="18"/>
        </w:rPr>
        <w:t>Chief Information Officer has served in various roles in information technology and information security for over 29 years and holds degrees in Business Information Systems and Accounting. The Vice President of Risk Management has served in various roles in information technology and information security for over 18 years,</w:t>
      </w:r>
      <w:r>
        <w:rPr>
          <w:color w:val="000000"/>
          <w:shd w:fill="FFFFFF" w:val="clear"/>
        </w:rPr>
        <w:t xml:space="preserve"> </w:t>
      </w:r>
      <w:r>
        <w:rPr>
          <w:rFonts w:ascii="Arial;sans-serif" w:hAnsi="Arial;sans-serif"/>
          <w:b w:val="false"/>
          <w:color w:val="000000"/>
          <w:sz w:val="18"/>
          <w:shd w:fill="FFFFFF" w:val="clear"/>
        </w:rPr>
        <w:t>holds an undergraduate degree in Accounting and a Master of Business Administration degree, and is a Certified Public Accountant.</w:t>
      </w:r>
    </w:p>
    <w:p>
      <w:pPr>
        <w:pStyle w:val="TextBody"/>
        <w:bidi w:val="0"/>
        <w:spacing w:lineRule="auto" w:line="288" w:before="0" w:after="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 tests and evaluates its cybersecurity risk management processes on a regular basis. As of the date of this report, the Company is not aware of any material risks from cybersecurity threats that have materially affected or are reasonably likely to materially affect the Company, including our business strategy, financial condition or results of operations. </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2070"/>
        <w:jc w:val="both"/>
        <w:rPr>
          <w:rFonts w:ascii="Arial;sans-serif" w:hAnsi="Arial;sans-serif"/>
          <w:b/>
          <w:color w:val="000000"/>
          <w:sz w:val="44"/>
        </w:rPr>
      </w:pPr>
      <w:r>
        <w:rPr>
          <w:rFonts w:ascii="Arial;sans-serif" w:hAnsi="Arial;sans-serif"/>
          <w:b/>
          <w:color w:val="000000"/>
          <w:sz w:val="44"/>
        </w:rPr>
        <w:t>ITEM 2.    Properties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primary corporate headquarters is located in Phoenix, Arizona. We operate approximately 250 branch locations and additional drop lots across the US, Canada, and Mexico. Collectively, we lease approximately 84% of our branch properties and own the remaining balance.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management believes that none of our properties, on an individual basis, is material to our operations, and that our properties are well maintained and suitable for their intended use. We further believe that these locations generally have adequate capacity and can accommodate seasonal demands, changing product mixes and additional growth.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Subject to certain exceptions, substantially all of our owned real and personal property in the US and Canada is encumbered under our credit facility and our secured notes. We do not believe that the encumbrances will materially detract from the value of our properties, or materially interfere with their use in the operation of our business.</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38"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hanging="2160"/>
        <w:jc w:val="both"/>
        <w:rPr>
          <w:rFonts w:ascii="Arial;sans-serif" w:hAnsi="Arial;sans-serif"/>
          <w:b/>
          <w:color w:val="000000"/>
          <w:sz w:val="44"/>
        </w:rPr>
      </w:pPr>
      <w:r>
        <w:rPr>
          <w:rFonts w:ascii="Arial;sans-serif" w:hAnsi="Arial;sans-serif"/>
          <w:b/>
          <w:color w:val="000000"/>
          <w:sz w:val="44"/>
        </w:rPr>
        <w:t>ITEM 3.    Legal Proceedings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 involved in various lawsuits, claims and legal proceedings that arise in the ordinary course of business. The Company assesses these matters on a case-by-case basis as they arise and establishes reserves as required. As of December 31, 2023,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2160"/>
        <w:jc w:val="both"/>
        <w:rPr>
          <w:rFonts w:ascii="Arial;sans-serif" w:hAnsi="Arial;sans-serif"/>
          <w:b/>
          <w:color w:val="000000"/>
          <w:sz w:val="44"/>
        </w:rPr>
      </w:pPr>
      <w:r>
        <w:rPr>
          <w:rFonts w:ascii="Arial;sans-serif" w:hAnsi="Arial;sans-serif"/>
          <w:b/>
          <w:color w:val="000000"/>
          <w:sz w:val="44"/>
        </w:rPr>
        <w:t>ITEM 4.    Mine Safety Disclosures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Not applicable.</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pStyle w:val="TextBody"/>
        <w:bidi w:val="0"/>
        <w:spacing w:before="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39"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center"/>
        <w:rPr>
          <w:rFonts w:ascii="Arial;sans-serif" w:hAnsi="Arial;sans-serif"/>
          <w:b/>
          <w:color w:val="1D2758"/>
          <w:sz w:val="44"/>
        </w:rPr>
      </w:pPr>
      <w:r>
        <w:rPr>
          <w:rFonts w:ascii="Arial;sans-serif" w:hAnsi="Arial;sans-serif"/>
          <w:b/>
          <w:color w:val="1D2758"/>
          <w:sz w:val="44"/>
        </w:rPr>
        <w:t>PART II</w:t>
      </w:r>
    </w:p>
    <w:p>
      <w:pPr>
        <w:pStyle w:val="TextBody"/>
        <w:bidi w:val="0"/>
        <w:spacing w:before="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2160"/>
        <w:jc w:val="left"/>
        <w:rPr>
          <w:rFonts w:ascii="Arial;sans-serif" w:hAnsi="Arial;sans-serif"/>
          <w:b/>
          <w:color w:val="000000"/>
          <w:sz w:val="44"/>
        </w:rPr>
      </w:pPr>
      <w:r>
        <w:rPr>
          <w:rFonts w:ascii="Arial;sans-serif" w:hAnsi="Arial;sans-serif"/>
          <w:b/>
          <w:color w:val="000000"/>
          <w:sz w:val="44"/>
        </w:rPr>
        <w:t xml:space="preserve">ITEM 5.    Market for Registrant’s Common Equity, Related Stockholder Matters and Issuer Purchases of Equity Securities </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Common Stock</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Common Stock is listed on the Nasdaq Capital Market under the symbol “WSC.” Our certificate of incorporation authorizes the issuance of 500,000,000 shares of Common Stock with a par value of $0.0001 per share. The Company had 189,967,135 shares of Common Stock issued and outstanding as of December 31, 2023. The outstanding shares of the Company's Common Stock are duly authorized, validly issued, fully paid and non-assessable. </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Preferred Stock</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certificate of incorporation authorizes the issuance of 1,000,000 shares of Preferred Stock with a par value of $0.0001 per share. As of December 31, 2023, no shares of Preferred Stock were issued and outstanding, and no designation of rights and preferences of preferred stock had been adopted. </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Holders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As of February 14, 2024, there were 30 holders of record of our Common Stock and no holders of record of our Preferred Stock. The number of holders of record does not include a substantially greater number of “street name” holders or beneficial holders whose Common Stock are held of record by banks, brokers and other financial institutions.</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Dividend Policy</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To date, we have not declared or paid dividends on our Common Stock. We have strong recurring cash flows, which gives us flexibility in how we allocate capital, and we review the appropriate mix of growth investments, debt reduction, and returns to shareholders on an ongoing basis. Declaration or payment of dividends, if any, in the future, will be at the discretion of our Board of Directors and will depend on our then current financial condition, results of operations, capital requirements and other factors deemed relevant by the Board of Directors.</w:t>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Repurchases</w:t>
      </w:r>
    </w:p>
    <w:p>
      <w:pPr>
        <w:pStyle w:val="TextBody"/>
        <w:bidi w:val="0"/>
        <w:spacing w:lineRule="auto" w:line="288" w:before="120" w:after="60"/>
        <w:ind w:left="0" w:right="0" w:firstLine="720"/>
        <w:jc w:val="both"/>
        <w:rPr>
          <w:rFonts w:ascii="Arial;sans-serif" w:hAnsi="Arial;sans-serif"/>
          <w:b w:val="false"/>
          <w:color w:val="000000"/>
          <w:sz w:val="18"/>
        </w:rPr>
      </w:pPr>
      <w:r>
        <w:rPr>
          <w:rFonts w:ascii="Arial;sans-serif" w:hAnsi="Arial;sans-serif"/>
          <w:b w:val="false"/>
          <w:color w:val="000000"/>
          <w:sz w:val="18"/>
        </w:rPr>
        <w:t>In May 2023, the Board of Directors approved a reset of the share repurchase program authorizing the Company to repurchase up to $1.0 billion of its outstanding shares of Common Stock and equivalents. The stock repurchase program does not obligate us to purchase any particular number of shares, and the timing and exact amount of any repurchases will depend on various factors, including market pricing and conditions, business, legal, accounting, and other considerations. As of December 31, 2023, $498.2 million of the $1.0 billion share repurchase authorization remained available for use.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summarizes our purchase of Common Stock during the fourth quarter of 2023:</w:t>
      </w:r>
    </w:p>
    <w:tbl>
      <w:tblPr>
        <w:tblW w:w="10205" w:type="dxa"/>
        <w:jc w:val="left"/>
        <w:tblInd w:w="0" w:type="dxa"/>
        <w:tblLayout w:type="fixed"/>
        <w:tblCellMar>
          <w:top w:w="28" w:type="dxa"/>
          <w:left w:w="28" w:type="dxa"/>
          <w:bottom w:w="28" w:type="dxa"/>
          <w:right w:w="28" w:type="dxa"/>
        </w:tblCellMar>
      </w:tblPr>
      <w:tblGrid>
        <w:gridCol w:w="639"/>
        <w:gridCol w:w="412"/>
        <w:gridCol w:w="417"/>
        <w:gridCol w:w="695"/>
        <w:gridCol w:w="674"/>
        <w:gridCol w:w="676"/>
        <w:gridCol w:w="286"/>
        <w:gridCol w:w="836"/>
        <w:gridCol w:w="147"/>
        <w:gridCol w:w="899"/>
        <w:gridCol w:w="878"/>
        <w:gridCol w:w="880"/>
        <w:gridCol w:w="591"/>
        <w:gridCol w:w="1730"/>
        <w:gridCol w:w="445"/>
      </w:tblGrid>
      <w:tr>
        <w:trPr/>
        <w:tc>
          <w:tcPr>
            <w:tcW w:w="63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Period</w:t>
            </w:r>
          </w:p>
        </w:tc>
        <w:tc>
          <w:tcPr>
            <w:tcW w:w="204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Number of Shares and Equivalents Purchased (in thousands)</w:t>
            </w:r>
          </w:p>
        </w:tc>
        <w:tc>
          <w:tcPr>
            <w:tcW w:w="126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Average Price Paid per Share</w:t>
            </w:r>
          </w:p>
        </w:tc>
        <w:tc>
          <w:tcPr>
            <w:tcW w:w="26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Numbers of Shares and Equivalents Purchased as part of Publicly Announced Plan (in thousands)</w:t>
            </w:r>
          </w:p>
        </w:tc>
        <w:tc>
          <w:tcPr>
            <w:tcW w:w="276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 xml:space="preserve">Maximum Dollar Value of Shares and Equivalents that May Yet Be Purchased Under the Plan (in thousands) </w:t>
            </w:r>
          </w:p>
        </w:tc>
      </w:tr>
      <w:tr>
        <w:trPr/>
        <w:tc>
          <w:tcPr>
            <w:tcW w:w="14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2023 to October 31, 2023</w:t>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2,087.2 </w:t>
            </w:r>
          </w:p>
        </w:tc>
        <w:tc>
          <w:tcPr>
            <w:tcW w:w="6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40.13 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2,087.2 </w:t>
            </w:r>
          </w:p>
        </w:tc>
        <w:tc>
          <w:tcPr>
            <w:tcW w:w="8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550.4 </w:t>
            </w:r>
          </w:p>
        </w:tc>
        <w:tc>
          <w:tcPr>
            <w:tcW w:w="4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 2023 to November 30, 2023</w:t>
            </w:r>
          </w:p>
        </w:tc>
        <w:tc>
          <w:tcPr>
            <w:tcW w:w="13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1,408.8 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1,408.8 </w:t>
            </w:r>
          </w:p>
        </w:tc>
        <w:tc>
          <w:tcPr>
            <w:tcW w:w="8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498.2 </w:t>
            </w:r>
          </w:p>
        </w:tc>
        <w:tc>
          <w:tcPr>
            <w:tcW w:w="4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 2023 to December 31, 2023</w:t>
            </w:r>
          </w:p>
        </w:tc>
        <w:tc>
          <w:tcPr>
            <w:tcW w:w="136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3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498.2 </w:t>
            </w:r>
          </w:p>
        </w:tc>
        <w:tc>
          <w:tcPr>
            <w:tcW w:w="4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36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3,496.0 </w:t>
            </w:r>
          </w:p>
        </w:tc>
        <w:tc>
          <w:tcPr>
            <w:tcW w:w="6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3,496.0 </w:t>
            </w:r>
          </w:p>
        </w:tc>
        <w:tc>
          <w:tcPr>
            <w:tcW w:w="8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40"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120" w:after="60"/>
        <w:jc w:val="both"/>
        <w:rPr>
          <w:rFonts w:ascii="Arial;sans-serif" w:hAnsi="Arial;sans-serif"/>
          <w:b w:val="false"/>
          <w:color w:val="1D2758"/>
          <w:sz w:val="26"/>
        </w:rPr>
      </w:pPr>
      <w:r>
        <w:rPr>
          <w:rFonts w:ascii="Arial;sans-serif" w:hAnsi="Arial;sans-serif"/>
          <w:b w:val="false"/>
          <w:color w:val="1D2758"/>
          <w:sz w:val="26"/>
        </w:rPr>
        <w:t>Performance Graph</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stock price performance graph should not be deemed incorporated by reference by any general statement incorporating by reference this Annual Report on Form 10-K into any filing under the Exchange Act or the Securities Act of 1933, as amended, except to the extent that we specifically incorporate this information by reference and shall not otherwise be deemed filed under such acts. </w:t>
      </w:r>
    </w:p>
    <w:p>
      <w:pPr>
        <w:pStyle w:val="TextBody"/>
        <w:bidi w:val="0"/>
        <w:spacing w:lineRule="auto" w:line="288" w:before="0" w:after="60"/>
        <w:ind w:left="0" w:right="0" w:firstLine="720"/>
        <w:jc w:val="both"/>
        <w:rPr/>
      </w:pPr>
      <w:r>
        <w:rPr>
          <w:rFonts w:ascii="Arial;sans-serif" w:hAnsi="Arial;sans-serif"/>
          <w:b w:val="false"/>
          <w:color w:val="000000"/>
          <w:sz w:val="18"/>
        </w:rPr>
        <w:t>The graph below compares the cumulative total return of our Common Stock from January 1, 2019 through December 31, 2023, with the comparable cumulative return of two indices: the S&amp;P 400 Index and the Russell 1000 Index. The graph plots the growth in value of an initial investment of $100 in each of our common shares, the S&amp;P 400 Index and the Russell 1000 Index over the indicated time periods, and as</w:t>
      </w:r>
      <w:r>
        <w:rPr>
          <w:rFonts w:ascii="Arial;sans-serif" w:hAnsi="Arial;sans-serif"/>
          <w:b w:val="false"/>
          <w:color w:val="000000"/>
          <w:sz w:val="18"/>
          <w:shd w:fill="FFFFFF" w:val="clear"/>
        </w:rPr>
        <w:t xml:space="preserve">sumes reinvestment of all dividends, if any, paid on the securities. We have not paid any cash dividends and, therefore, the cumulative total return calculation for us is based solely upon share </w:t>
      </w:r>
      <w:r>
        <w:rPr>
          <w:rFonts w:ascii="Arial;sans-serif" w:hAnsi="Arial;sans-serif"/>
          <w:b w:val="false"/>
          <w:color w:val="000000"/>
          <w:sz w:val="18"/>
        </w:rPr>
        <w:t>price</w:t>
      </w:r>
      <w:r>
        <w:rPr>
          <w:color w:val="000000"/>
          <w:shd w:fill="FFFFFF" w:val="clear"/>
        </w:rPr>
        <w:t xml:space="preserve"> </w:t>
      </w:r>
      <w:r>
        <w:rPr>
          <w:rFonts w:ascii="Arial;sans-serif" w:hAnsi="Arial;sans-serif"/>
          <w:b w:val="false"/>
          <w:color w:val="000000"/>
          <w:sz w:val="18"/>
          <w:shd w:fill="FFFFFF" w:val="clear"/>
        </w:rPr>
        <w:t xml:space="preserve">appreciation and not upon reinvestment of cash dividends. The share price performance shown on the graph is not necessarily indicative of future price performance. </w:t>
      </w:r>
    </w:p>
    <w:p>
      <w:pPr>
        <w:pStyle w:val="TextBody"/>
        <w:bidi w:val="0"/>
        <w:spacing w:before="0" w:after="60"/>
        <w:jc w:val="center"/>
        <w:rPr/>
      </w:pPr>
      <w:r>
        <w:rPr/>
        <w:drawing>
          <wp:inline distT="0" distB="0" distL="0" distR="0">
            <wp:extent cx="6191250" cy="3200400"/>
            <wp:effectExtent l="0" t="0" r="0" b="0"/>
            <wp:docPr id="4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5" descr=""/>
                    <pic:cNvPicPr>
                      <a:picLocks noChangeAspect="1" noChangeArrowheads="1"/>
                    </pic:cNvPicPr>
                  </pic:nvPicPr>
                  <pic:blipFill>
                    <a:blip r:embed="rId6"/>
                    <a:stretch>
                      <a:fillRect/>
                    </a:stretch>
                  </pic:blipFill>
                  <pic:spPr bwMode="auto">
                    <a:xfrm>
                      <a:off x="0" y="0"/>
                      <a:ext cx="6191250" cy="3200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color w:val="000000"/>
          <w:sz w:val="44"/>
        </w:rPr>
      </w:pPr>
      <w:r>
        <w:rPr>
          <w:rFonts w:ascii="Arial;sans-serif" w:hAnsi="Arial;sans-serif"/>
          <w:b/>
          <w:color w:val="000000"/>
          <w:sz w:val="44"/>
        </w:rPr>
        <w:t>ITEM 6.    [Reserved]</w:t>
      </w:r>
    </w:p>
    <w:p>
      <w:pPr>
        <w:pStyle w:val="TextBody"/>
        <w:bidi w:val="0"/>
        <w:spacing w:before="0" w:after="60"/>
        <w:ind w:left="0" w:right="0" w:firstLine="72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120"/>
        <w:jc w:val="both"/>
        <w:rPr/>
      </w:pPr>
      <w:r>
        <w:rPr/>
      </w:r>
    </w:p>
    <w:p>
      <w:pPr>
        <w:pStyle w:val="TextBody"/>
        <w:bidi w:val="0"/>
        <w:spacing w:before="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120" w:after="60"/>
        <w:jc w:val="both"/>
        <w:rPr/>
      </w:pPr>
      <w:r>
        <w:rPr/>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42"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00"/>
        <w:ind w:left="0" w:right="0" w:hanging="2160"/>
        <w:jc w:val="left"/>
        <w:rPr>
          <w:rFonts w:ascii="Arial;sans-serif" w:hAnsi="Arial;sans-serif"/>
          <w:b/>
          <w:color w:val="000000"/>
          <w:sz w:val="44"/>
        </w:rPr>
      </w:pPr>
      <w:r>
        <w:rPr>
          <w:rFonts w:ascii="Arial;sans-serif" w:hAnsi="Arial;sans-serif"/>
          <w:b/>
          <w:color w:val="000000"/>
          <w:sz w:val="44"/>
        </w:rPr>
        <w:t xml:space="preserve">ITEM 7.    Management’s Discussion and Analysis of Financial Condition and Results of Operations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Management’s Discussion and Analysis of Financial Condition and Results of Operations (“MD&amp;A”) is intended to help the reader understand WillScot Mobile Mini Holdings Corp. ("WillScot Mobile Mini") operations and our present business environment. MD&amp;A is provided as a supplement to, and should be read in conjunction with, our financial statements and the accompanying notes thereto, contained in Part II, Item 8 of this report. The discussion of results of operations in this MD&amp;A is presented on a historical basis, as of or for the year ended December 31, 2023 or prior periods. In connection with the closing of the merger of WillScot Corporation ("WillScot") and Mobile Mini, Inc. ("Mobile Mini") on July 1, 2020 (the "Merger"), Mobile Mini became a wholly-owned subsidiary of WillScot and the Company changed its name to WillScot Mobile Mini Holdings Corp. WillScot Mobile Mini is the holding company for the Williams Scotsman and Mobile Mini families of companies.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September 30, 2022, the Company completed the sale of its former Tank and Pump Solutions ("Tank and Pump") segment. On January 31, 2023, the Company completed the sale of its UK Storage Solutions segment. This MD&amp;A presents the historical financial results of the former Tank and Pump segment and the former UK Storage Solutions segment as discontinued operations for all periods presented. The divestitures of the UK Storage Solutions segment and the former Tank and Pump segment completed the Company's transition of its portfolio to core turnkey temporary space solutions in North America. Following the completion of these transactions, the Company operates in two reportable segments as follows: Modular Solutions ("Modular") and Storage Solutions ("Storage").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consolidated financial statements were prepared in conformity with accounting principles generally accepted in the US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Executive Summary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are a leading business services provider specializing in innovative and flexible turnkey temporary space solutions. We service diverse end markets across all sectors of the economy throughout the United States ("US"), Canada, and Mexico. As of December 31, 2023, our branch network included approximately 250 branch locations and additional drop lots to service our over 85,000 customers. We offer our customers an extensive selection of “Ready to Work” temporary space solutions with over 156,000 modular space units and over 212,000 portable storage units in our fleet. </w:t>
      </w:r>
    </w:p>
    <w:p>
      <w:pPr>
        <w:pStyle w:val="TextBody"/>
        <w:bidi w:val="0"/>
        <w:spacing w:lineRule="auto" w:line="288" w:before="0" w:after="60"/>
        <w:ind w:left="0" w:right="0" w:firstLine="720"/>
        <w:jc w:val="both"/>
        <w:rPr/>
      </w:pPr>
      <w:r>
        <w:rPr>
          <w:rFonts w:ascii="Arial;sans-serif" w:hAnsi="Arial;sans-serif"/>
          <w:b w:val="false"/>
          <w:color w:val="000000"/>
          <w:sz w:val="18"/>
        </w:rPr>
        <w:t>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Furthermore, given that our customers value flexibility, they consistently extend their leases or renew on a month-to-month basis such that the average effective duration of our lease portfolio, excluding seasonal portable storage units, is approximately</w:t>
      </w:r>
      <w:r>
        <w:rPr>
          <w:color w:val="000000"/>
        </w:rPr>
        <w:t xml:space="preserve"> </w:t>
      </w:r>
      <w:r>
        <w:rPr>
          <w:rFonts w:ascii="Arial;sans-serif" w:hAnsi="Arial;sans-serif"/>
          <w:b w:val="false"/>
          <w:color w:val="000000"/>
          <w:sz w:val="18"/>
        </w:rPr>
        <w:t xml:space="preserve">37 months. We complement our core leasing business by selling both new and used units, allowing us to leverage scale, achieve purchasing benefits and redeploy capital employed in our lease fleet.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remain focused on our core priorities of growing leasing revenues by increasing units on rent, both organically and through our acquisition strategy, delivering “Ready to Work” turnkey solutions to our customers with value added products and services ("VAPS"), and on continually improving the overall customer experience.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For the year ended December 31, 2023, key drivers of our financial performance included: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Total revenues increased $222.1 million, or 10.4%, attributable to organic revenue growth levers in the business and due to the impact of acquisitions. Leasing revenue increased $212.2 million, or 13.1%, delivery and installation revenue increased $8.0 million, or 1.9%, and new unit sales revenue increased $7.8 million, or 19.3%. These increases were partially offset by a reduction in rental unit sales revenue, which decreased $5.9 million, or 11.5%. We estimate that recent acquisitions completed in 2023 contributed approximately $59.0 million to total revenues for the year ended December 31, 2023.</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Key leasing revenue drivers included:</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Average modular space monthly rental rate increa</w:t>
      </w:r>
      <w:r>
        <w:rPr>
          <w:rFonts w:ascii="Arial;sans-serif" w:hAnsi="Arial;sans-serif"/>
          <w:b w:val="false"/>
          <w:color w:val="000000"/>
          <w:sz w:val="18"/>
        </w:rPr>
        <w:t>sed $153, or 16.9%, to $1,058 d</w:t>
      </w:r>
      <w:r>
        <w:rPr>
          <w:rFonts w:ascii="Arial;sans-serif" w:hAnsi="Arial;sans-serif"/>
          <w:b w:val="false"/>
          <w:color w:val="000000"/>
          <w:sz w:val="18"/>
          <w:shd w:fill="FFFFFF" w:val="clear"/>
        </w:rPr>
        <w:t>riven by strong pricing performance across both segm</w:t>
      </w:r>
      <w:r>
        <w:rPr>
          <w:rFonts w:ascii="Arial;sans-serif" w:hAnsi="Arial;sans-serif"/>
          <w:b w:val="false"/>
          <w:color w:val="000000"/>
          <w:sz w:val="18"/>
        </w:rPr>
        <w:t xml:space="preserve">ents. Average modular space monthly rental rates increased by $145, or 15.0%, in the Modular segment and by $144, or 21.1%, in the Storage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43"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Average portable storage mo</w:t>
      </w:r>
      <w:r>
        <w:rPr>
          <w:rFonts w:ascii="Arial;sans-serif" w:hAnsi="Arial;sans-serif"/>
          <w:b w:val="false"/>
          <w:color w:val="000000"/>
          <w:sz w:val="18"/>
        </w:rPr>
        <w:t xml:space="preserve">nthly rental rate increased $46, or 24.0%, to $238 driven by increased pricing as a result of our price management tools and processes as well as due to higher rental </w:t>
      </w:r>
      <w:r>
        <w:rPr>
          <w:rFonts w:ascii="Arial;sans-serif" w:hAnsi="Arial;sans-serif"/>
          <w:b w:val="false"/>
          <w:color w:val="000000"/>
          <w:sz w:val="18"/>
          <w:shd w:fill="FFFFFF" w:val="clear"/>
        </w:rPr>
        <w:t xml:space="preserve">rates on the acquired climate-controlled containers and refrigerated storage units, which drove approximately 5% of the </w:t>
      </w:r>
      <w:r>
        <w:rPr>
          <w:rFonts w:ascii="Arial;sans-serif" w:hAnsi="Arial;sans-serif"/>
          <w:b w:val="false"/>
          <w:color w:val="000000"/>
          <w:sz w:val="18"/>
        </w:rPr>
        <w:t>24.0% increase</w:t>
      </w:r>
      <w:r>
        <w:rPr>
          <w:rFonts w:ascii="Arial;sans-serif" w:hAnsi="Arial;sans-serif"/>
          <w:b w:val="false"/>
          <w:color w:val="000000"/>
          <w:sz w:val="18"/>
          <w:shd w:fill="FFFFFF" w:val="clear"/>
        </w:rPr>
        <w:t xml:space="preserve">. </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Average utilization for p</w:t>
      </w:r>
      <w:r>
        <w:rPr>
          <w:rFonts w:ascii="Arial;sans-serif" w:hAnsi="Arial;sans-serif"/>
          <w:b w:val="false"/>
          <w:color w:val="000000"/>
          <w:sz w:val="18"/>
        </w:rPr>
        <w:t>ortable storage units decreased to 73.2%, from 86.8% in 2022, driven by decreased demand in 2023 as compared to very strong demand in 2022. Average utilization for modular space units decreased 380 basis points ("bps") to 64.7% in 2023.</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Average modular space units on rent decreased 3,986 units, or 3.8%, and average portable storage units on rent decreased 15,179 units, or 9.0%. The decreases were mainly driven by lower construction start activity in 2023 versus record demand in 2022, and for portable storage products, also by fewer retail remodels and lower seasonal retail demand versus the prior year.</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 xml:space="preserve">Modular segment revenue represented 63.2% of consolidated revenue for the year ended December 31, 2023, and increased </w:t>
      </w:r>
      <w:r>
        <w:rPr>
          <w:rFonts w:ascii="Arial;sans-serif" w:hAnsi="Arial;sans-serif"/>
          <w:b w:val="false"/>
          <w:color w:val="000000"/>
          <w:sz w:val="18"/>
        </w:rPr>
        <w:t>$153.6 million</w:t>
      </w:r>
      <w:r>
        <w:rPr>
          <w:rFonts w:ascii="Arial;sans-serif" w:hAnsi="Arial;sans-serif"/>
          <w:b w:val="false"/>
          <w:color w:val="000000"/>
          <w:sz w:val="18"/>
          <w:shd w:fill="FFFFFF" w:val="clear"/>
        </w:rPr>
        <w:t xml:space="preserve">, or 11.4%, to </w:t>
      </w:r>
      <w:r>
        <w:rPr>
          <w:rFonts w:ascii="Arial;sans-serif" w:hAnsi="Arial;sans-serif"/>
          <w:b w:val="false"/>
          <w:color w:val="000000"/>
          <w:sz w:val="18"/>
        </w:rPr>
        <w:t>$1,495.7 million</w:t>
      </w:r>
      <w:r>
        <w:rPr>
          <w:rFonts w:ascii="Arial;sans-serif" w:hAnsi="Arial;sans-serif"/>
          <w:b w:val="false"/>
          <w:color w:val="000000"/>
          <w:sz w:val="18"/>
          <w:shd w:fill="FFFFFF" w:val="clear"/>
        </w:rPr>
        <w:t xml:space="preserve">. The increase was driven by increased leasing revenue, which increased </w:t>
      </w:r>
      <w:r>
        <w:rPr>
          <w:rFonts w:ascii="Arial;sans-serif" w:hAnsi="Arial;sans-serif"/>
          <w:b w:val="false"/>
          <w:color w:val="000000"/>
          <w:sz w:val="18"/>
        </w:rPr>
        <w:t>$145.4 million</w:t>
      </w:r>
      <w:r>
        <w:rPr>
          <w:rFonts w:ascii="Arial;sans-serif" w:hAnsi="Arial;sans-serif"/>
          <w:b w:val="false"/>
          <w:color w:val="000000"/>
          <w:sz w:val="18"/>
          <w:shd w:fill="FFFFFF" w:val="clear"/>
        </w:rPr>
        <w:t xml:space="preserve">, or 14.6%, due to continued growth of pricing and VAPS, and increased delivery and installation revenues, which increased </w:t>
      </w:r>
      <w:r>
        <w:rPr>
          <w:rFonts w:ascii="Arial;sans-serif" w:hAnsi="Arial;sans-serif"/>
          <w:b w:val="false"/>
          <w:color w:val="000000"/>
          <w:sz w:val="18"/>
        </w:rPr>
        <w:t>$10.7 million</w:t>
      </w:r>
      <w:r>
        <w:rPr>
          <w:rFonts w:ascii="Arial;sans-serif" w:hAnsi="Arial;sans-serif"/>
          <w:b w:val="false"/>
          <w:color w:val="000000"/>
          <w:sz w:val="18"/>
          <w:shd w:fill="FFFFFF" w:val="clear"/>
        </w:rPr>
        <w:t xml:space="preserve">, or 3.9%. These increases were partially offset by a decrease in sales revenue of </w:t>
      </w:r>
      <w:r>
        <w:rPr>
          <w:rFonts w:ascii="Arial;sans-serif" w:hAnsi="Arial;sans-serif"/>
          <w:b w:val="false"/>
          <w:color w:val="000000"/>
          <w:sz w:val="18"/>
        </w:rPr>
        <w:t>$2.4 million</w:t>
      </w:r>
      <w:r>
        <w:rPr>
          <w:rFonts w:ascii="Arial;sans-serif" w:hAnsi="Arial;sans-serif"/>
          <w:b w:val="false"/>
          <w:color w:val="000000"/>
          <w:sz w:val="18"/>
          <w:shd w:fill="FFFFFF" w:val="clear"/>
        </w:rPr>
        <w:t>, or 3.1%, driven by lower rental unit sales. Modular revenue drivers for the year ended December 31, 2023 included:</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Modular space average monthly rental rate of $1,111 increased $145, or 15.0%, year over year representing a continuation of our long-term price optimization and VAPS penetration opportunities across our portfolio.</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 xml:space="preserve">Average modular space units on rent decreased 647 units, or </w:t>
      </w:r>
      <w:r>
        <w:rPr>
          <w:rFonts w:ascii="Arial;sans-serif" w:hAnsi="Arial;sans-serif"/>
          <w:b w:val="false"/>
          <w:color w:val="000000"/>
          <w:sz w:val="18"/>
        </w:rPr>
        <w:t>0.8%</w:t>
      </w:r>
      <w:r>
        <w:rPr>
          <w:rFonts w:ascii="Arial;sans-serif" w:hAnsi="Arial;sans-serif"/>
          <w:b w:val="false"/>
          <w:color w:val="000000"/>
          <w:sz w:val="18"/>
          <w:shd w:fill="FFFFFF" w:val="clear"/>
        </w:rPr>
        <w:t xml:space="preserve">, year over year. </w:t>
      </w:r>
    </w:p>
    <w:p>
      <w:pPr>
        <w:pStyle w:val="TextBody"/>
        <w:bidi w:val="0"/>
        <w:spacing w:lineRule="auto" w:line="288" w:before="0" w:after="60"/>
        <w:ind w:left="0" w:right="0" w:hanging="360"/>
        <w:jc w:val="both"/>
        <w:rPr/>
      </w:pPr>
      <w:r>
        <w:rPr>
          <w:strike/>
          <w:color w:val="000000"/>
          <w:shd w:fill="FFFFFF" w:val="clear"/>
        </w:rPr>
        <w:t>–</w:t>
      </w:r>
      <w:r>
        <w:rPr>
          <w:rFonts w:ascii="Arial;sans-serif" w:hAnsi="Arial;sans-serif"/>
          <w:b w:val="false"/>
          <w:color w:val="000000"/>
          <w:sz w:val="18"/>
          <w:shd w:fill="FFFFFF" w:val="clear"/>
        </w:rPr>
        <w:t xml:space="preserve">Average modular space monthly utilization decreased 190 basis points to 65.6% for the year ended December 31, 2023, as compared to the </w:t>
      </w:r>
      <w:r>
        <w:rPr>
          <w:rFonts w:ascii="Arial;sans-serif" w:hAnsi="Arial;sans-serif"/>
          <w:b w:val="false"/>
          <w:color w:val="000000"/>
          <w:sz w:val="18"/>
        </w:rPr>
        <w:t>year ended December 31, 2022.</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rPr>
        <w:t>Storage segment revenue, which represented 36.8% of consolidated revenue for the year ended December 31, 2023, increased $68.5 million, or 8.6%, to $869.1 million. The increase was driven by increased leasing revenue, which grew $66.9 million, or 10.6%, due to increased pricing and contributions from the recently acquired climate-controlled containers and refrigerated storage units, partially offset by lower overall units on rent. Delivery and installation revenues decreased $2.7 million, or 1.7%, driven by decreased activity. Rental unit sales increased $4.3 million, or 50.7% given greater fleet availability in the current year. Storage segment revenue drivers for the year ended December 31, 2023 included:</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rPr>
        <w:t>Portable storage average monthly rental rate of $238 increased 24.0% year over year as a result of our price management tools and processes and early benefits from increased VAPS penetration opportunities, as well as due to higher rates on the acquired climate-controlled containers and refrigerated storage units. Excluding the impacts of the acquired climate-controlled containers and refrigerated storage units, portable storage average monthly rental rates increased $37, or 19.3%. Modular space average monthly rental rate of $826 increased $144, or 21.1%, year over year as a result of price optimization and increased VAPS penetration.</w:t>
      </w:r>
    </w:p>
    <w:p>
      <w:pPr>
        <w:pStyle w:val="TextBody"/>
        <w:bidi w:val="0"/>
        <w:spacing w:lineRule="auto" w:line="288" w:before="0" w:after="60"/>
        <w:ind w:left="0" w:right="0" w:hanging="360"/>
        <w:jc w:val="both"/>
        <w:rPr/>
      </w:pPr>
      <w:r>
        <w:rPr>
          <w:color w:val="1D2758"/>
        </w:rPr>
        <w:t>–</w:t>
      </w:r>
      <w:r>
        <w:rPr>
          <w:rFonts w:ascii="Arial;sans-serif" w:hAnsi="Arial;sans-serif"/>
          <w:b w:val="false"/>
          <w:color w:val="000000"/>
          <w:sz w:val="18"/>
        </w:rPr>
        <w:t xml:space="preserve">Average portable storage units on rent decreased 15,159, or 9.0%, year over year driven by lower demand during 2023 versus the high growth achieved in 2022 including the impact of fewer retail remodels and lower seasonal demand versus the prior year. Average modular space units on rent decreased 3,339, or 15.0%, year over year due to lower demand. </w:t>
      </w:r>
    </w:p>
    <w:p>
      <w:pPr>
        <w:pStyle w:val="TextBody"/>
        <w:bidi w:val="0"/>
        <w:spacing w:lineRule="auto" w:line="288" w:before="0" w:after="60"/>
        <w:ind w:left="0" w:right="0" w:hanging="360"/>
        <w:jc w:val="both"/>
        <w:rPr/>
      </w:pPr>
      <w:r>
        <w:rPr>
          <w:strike/>
          <w:color w:val="000000"/>
        </w:rPr>
        <w:t>–</w:t>
      </w:r>
      <w:r>
        <w:rPr>
          <w:rFonts w:ascii="Arial;sans-serif" w:hAnsi="Arial;sans-serif"/>
          <w:b w:val="false"/>
          <w:color w:val="000000"/>
          <w:sz w:val="18"/>
        </w:rPr>
        <w:t>Average portable storage monthly utilization decreased 13.6% to 73.3% for the year ended December 31, 2023, as compared to the year ended December 31, 2022. Average modular space monthly utilization decreased 11.3% to 61.1% for the year ended December 31, 2023, as compared to the year ended December 31, 2022.</w:t>
      </w:r>
    </w:p>
    <w:p>
      <w:pPr>
        <w:pStyle w:val="TextBody"/>
        <w:bidi w:val="0"/>
        <w:spacing w:lineRule="auto" w:line="288" w:before="0" w:after="60"/>
        <w:ind w:left="0" w:right="0" w:hanging="360"/>
        <w:jc w:val="both"/>
        <w:rPr/>
      </w:pPr>
      <w:r>
        <w:rPr>
          <w:strike/>
          <w:color w:val="000000"/>
          <w:shd w:fill="FFFFFF" w:val="clear"/>
        </w:rPr>
        <w:t>•</w:t>
      </w:r>
      <w:r>
        <w:rPr>
          <w:rFonts w:ascii="Arial;sans-serif" w:hAnsi="Arial;sans-serif"/>
          <w:b w:val="false"/>
          <w:color w:val="000000"/>
          <w:sz w:val="18"/>
          <w:shd w:fill="FFFFFF" w:val="clear"/>
        </w:rPr>
        <w:t xml:space="preserve">Generated income from continuing operations of </w:t>
      </w:r>
      <w:r>
        <w:rPr>
          <w:rFonts w:ascii="Arial;sans-serif" w:hAnsi="Arial;sans-serif"/>
          <w:b w:val="false"/>
          <w:color w:val="000000"/>
          <w:sz w:val="18"/>
        </w:rPr>
        <w:t>$341.8 million</w:t>
      </w:r>
      <w:r>
        <w:rPr>
          <w:color w:val="000000"/>
          <w:shd w:fill="FFFFFF" w:val="clear"/>
        </w:rPr>
        <w:t xml:space="preserve"> </w:t>
      </w:r>
      <w:r>
        <w:rPr>
          <w:rFonts w:ascii="Arial;sans-serif" w:hAnsi="Arial;sans-serif"/>
          <w:b w:val="false"/>
          <w:color w:val="000000"/>
          <w:sz w:val="18"/>
          <w:shd w:fill="FFFFFF" w:val="clear"/>
        </w:rPr>
        <w:t>for the year ended December 31, 2023, representing an increase of $65.5 million ver</w:t>
      </w:r>
      <w:r>
        <w:rPr>
          <w:rFonts w:ascii="Arial;sans-serif" w:hAnsi="Arial;sans-serif"/>
          <w:b w:val="false"/>
          <w:color w:val="000000"/>
          <w:sz w:val="18"/>
        </w:rPr>
        <w:t>sus the year ended December 31, 2022. Net Income including income from discontinued operations was $476.5 million</w:t>
      </w:r>
      <w:r>
        <w:rPr>
          <w:color w:val="000000"/>
          <w:shd w:fill="FFFFFF" w:val="clear"/>
        </w:rPr>
        <w:t xml:space="preserve"> </w:t>
      </w:r>
      <w:r>
        <w:rPr>
          <w:rFonts w:ascii="Arial;sans-serif" w:hAnsi="Arial;sans-serif"/>
          <w:b w:val="false"/>
          <w:color w:val="000000"/>
          <w:sz w:val="18"/>
          <w:shd w:fill="FFFFFF" w:val="clear"/>
        </w:rPr>
        <w:t xml:space="preserve">for the </w:t>
      </w:r>
      <w:r>
        <w:rPr>
          <w:rFonts w:ascii="Arial;sans-serif" w:hAnsi="Arial;sans-serif"/>
          <w:b w:val="false"/>
          <w:color w:val="000000"/>
          <w:sz w:val="18"/>
        </w:rPr>
        <w:t xml:space="preserve">year ended December 31, 2023, </w:t>
      </w:r>
      <w:r>
        <w:rPr>
          <w:rFonts w:ascii="Arial;sans-serif" w:hAnsi="Arial;sans-serif"/>
          <w:b w:val="false"/>
          <w:color w:val="000000"/>
          <w:sz w:val="18"/>
          <w:shd w:fill="FFFFFF" w:val="clear"/>
        </w:rPr>
        <w:t xml:space="preserve">representing an increase of </w:t>
      </w:r>
      <w:r>
        <w:rPr>
          <w:rFonts w:ascii="Arial;sans-serif" w:hAnsi="Arial;sans-serif"/>
          <w:b w:val="false"/>
          <w:color w:val="000000"/>
          <w:sz w:val="18"/>
        </w:rPr>
        <w:t>$136.9 million</w:t>
      </w:r>
      <w:r>
        <w:rPr>
          <w:color w:val="000000"/>
          <w:shd w:fill="FFFFFF" w:val="clear"/>
        </w:rPr>
        <w:t xml:space="preserve"> </w:t>
      </w:r>
      <w:r>
        <w:rPr>
          <w:rFonts w:ascii="Arial;sans-serif" w:hAnsi="Arial;sans-serif"/>
          <w:b w:val="false"/>
          <w:color w:val="000000"/>
          <w:sz w:val="18"/>
          <w:shd w:fill="FFFFFF" w:val="clear"/>
        </w:rPr>
        <w:t xml:space="preserve">versus the </w:t>
      </w:r>
      <w:r>
        <w:rPr>
          <w:rFonts w:ascii="Arial;sans-serif" w:hAnsi="Arial;sans-serif"/>
          <w:b w:val="false"/>
          <w:color w:val="000000"/>
          <w:sz w:val="18"/>
        </w:rPr>
        <w:t>year ended December 31, 2022</w:t>
      </w:r>
      <w:r>
        <w:rPr>
          <w:rFonts w:ascii="Arial;sans-serif" w:hAnsi="Arial;sans-serif"/>
          <w:b w:val="false"/>
          <w:color w:val="000000"/>
          <w:sz w:val="18"/>
          <w:shd w:fill="FFFFFF" w:val="clear"/>
        </w:rPr>
        <w:t>.</w:t>
      </w:r>
    </w:p>
    <w:p>
      <w:pPr>
        <w:pStyle w:val="TextBody"/>
        <w:bidi w:val="0"/>
        <w:spacing w:lineRule="auto" w:line="288" w:before="0" w:after="60"/>
        <w:ind w:left="0" w:right="0" w:hanging="360"/>
        <w:jc w:val="both"/>
        <w:rPr/>
      </w:pPr>
      <w:r>
        <w:rPr>
          <w:strike/>
          <w:color w:val="000000"/>
          <w:shd w:fill="FFFFFF" w:val="clear"/>
        </w:rPr>
        <w:t>•</w:t>
      </w:r>
      <w:r>
        <w:rPr>
          <w:rFonts w:ascii="Arial;sans-serif" w:hAnsi="Arial;sans-serif"/>
          <w:b w:val="false"/>
          <w:color w:val="000000"/>
          <w:sz w:val="18"/>
        </w:rPr>
        <w:t>Generated Adjusted EBITDA from continuing operations of $1,061.5 million for the year ended December 31, 2023, representing an increase of $177.6 million, or 20.1%, as compared to 2022. This increase was driven by continued expansion of most product and service line margins. Most significantly, leasing margins increased 15.3% versus prior year and delivery and installation margins increased 12.7% versus prior year, both driven primarily by increased pricing. SG&amp;A expenses included in Adjusted EBITDA decreased as a percentage of revenue by 120 bps versus 2022.</w:t>
      </w:r>
    </w:p>
    <w:p>
      <w:pPr>
        <w:pStyle w:val="TextBody"/>
        <w:bidi w:val="0"/>
        <w:spacing w:lineRule="auto" w:line="288" w:before="0" w:after="60"/>
        <w:ind w:left="0" w:right="0" w:hanging="360"/>
        <w:jc w:val="both"/>
        <w:rPr/>
      </w:pPr>
      <w:r>
        <w:rPr>
          <w:strike/>
          <w:color w:val="000000"/>
          <w:shd w:fill="FFFFFF" w:val="clear"/>
        </w:rPr>
        <w:t>•</w:t>
      </w:r>
      <w:r>
        <w:rPr>
          <w:rFonts w:ascii="Arial;sans-serif" w:hAnsi="Arial;sans-serif"/>
          <w:b w:val="false"/>
          <w:color w:val="000000"/>
          <w:sz w:val="18"/>
        </w:rPr>
        <w:t xml:space="preserve">Net cash provided by operating activities increased $16.6 million to $761.2 million for the year ended December 31, 2023. This increase was limited by the divestitures of the former Tank and Pump and UK Storage Solutions segments which both contributed to operating cash flows for the year ended December 31, 2022. Net cash used in investing activities, excluding cash used as part of acquisitions and proceeds from the sale of discontinued operations, decreased $229.7 million to $184.7 million as a result of reduced refurbishment spending and decreased 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44"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of new fleet as a result of lower utilization and due to the divestitures of the former Tank and Pump and UK Storage Solutions segments. </w:t>
      </w:r>
    </w:p>
    <w:p>
      <w:pPr>
        <w:pStyle w:val="TextBody"/>
        <w:bidi w:val="0"/>
        <w:spacing w:lineRule="auto" w:line="288" w:before="0" w:after="60"/>
        <w:ind w:left="0" w:right="0" w:hanging="360"/>
        <w:jc w:val="both"/>
        <w:rPr/>
      </w:pPr>
      <w:r>
        <w:rPr>
          <w:color w:val="1D2758"/>
        </w:rPr>
        <w:t>•</w:t>
      </w:r>
      <w:r>
        <w:rPr>
          <w:rFonts w:ascii="Arial;sans-serif" w:hAnsi="Arial;sans-serif"/>
          <w:b w:val="false"/>
          <w:color w:val="000000"/>
          <w:sz w:val="18"/>
        </w:rPr>
        <w:t xml:space="preserve">Generated Free Cash Flow of $576.6 million for the year ended December 31, 2023, representing an increase of $246.3 million, or 74.5%, as compared to 2022. This Free Cash Flow, along with the proceeds from the sale of our former UK Storage Solutions segment and additional net borrowings under the asset-based credit agreement (the "ABL Facility") were deployed to: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Acquire five smaller storage and modular portfolios for $150.0 million in 2023;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Acquire a national provider of cold storage solutions, a regional modular space manufacturing and leasing business, and a national provider of premium large clearspan structures for $411.6 million in 2023;</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Repurchase $810.8 million of our Common stock, reducing outstanding Common Stock by 18.5 million shares;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We believe the predictability of our Free Cash Flow allows us to pursue multiple capital allocation priorities opportunistically, including investing in organic opportunities we see in the market, maintaining leverage in our stated range, opportunistically executing accretive acquisitions, and returning capital to shareholders.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In addition to using GAAP financial measurements, we use Adjusted EBITDA and Free Cash Flow, which are non-GAAP financial measures, to evaluate our operating results. As such, we include in this Annual Report on Form 10-K reconciliations to their most directly comparable GAAP financial measures. These reconciliations and descriptions of why we believe these measures provide useful information to investors as well as a description of the limitations of these measures are included in "Reconciliation of non-GAAP Financial Measures."</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Significant Developments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Entry into an Agreement to Acquire McGrath RentCorp</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January 28, 2024, the Company, along with its newly formed subsidiaries, Brunello Merger Sub I, Inc. (“Merger Sub I”) and Brunello Merger Sub II, LLC (“Merger Sub II”), entered into an Agreement and Plan of Merger (the “Merger Agreement”) with McGrath RentCorp ("McGrath"). Merger Sub I will merge with and into McGrath (the “First-Step Merger”), with McGrath surviving the First-Step Merger and, immediately thereafter, McGrath will merge with and into Merger Sub II (the “Second-Step Merger” and together with the First-Step Merger, the “McGrath Acquisition”), with Merger Sub II surviving the Second-Step Merger as a wholly owned subsidiary of the Company. At the effective time of the First-Step Merger, and subject to the terms and subject to the conditions set forth in the Merger Agreement, each outstanding share of the common stock of McGrath shall be converted into the right to receive either (i) $123.00 in cash or (ii) 2.8211 shares of validly issued, fully paid and nonassessable shares of the Company’s common stock. Under the terms of the Merger Agreement, we expect McGrath’s shareholders would own approximately 12.6% of the Company following the McGrath Acquisition.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McGrath Acquisition has been approved by the Company and McGrath’s respective boards of directors. The McGrath Acquisition is subject to customary closing conditions, including receipt of regulatory approval and approval by McGrath’s shareholders, and is expected to close in the second quarter of 2024.</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connection with the Merger Agreement, the Company entered into a commitment letter on January 28, 2024, which was further amended and restated on February 12, 2024 (the "Commitment Letter"), pursuant to which certain financial institutions have committed to make available to WSI, in accordance with the terms of the Commitment Letter, (i) an $875 million eight year senior secured bridge credit facility, (ii) an $875 million five year senior secured bridge credit facility and (iii) an upsize to WSI's existing $3.7 billion ABL Facility by $750 million to $4.45 billion to repay McGrath's existing credit facilities and notes, fund the cash portion of the consideration, and pay the fees, costs and expenses incurred in connection with the McGrath Acquisition and the related transactions, subject to customary conditions.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Divestiture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On January 31, 2023, we completed the sale of our former UK Storage Solutions segment for total cash consideration of $418.1 million. Proceeds from the sale were used to support ongoing reinvestment in our Modular and Storage operating segments in North America and other capital allocation priorities.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Reportable Segments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Following the divestitures of the UK Storage Solutions and Tank and Pump segments, we operate in two reportable segments: Modular Solutions ("Modular") and Storage Solutions ("Storage"). The reportable segments are aligned with how we operate and analyze our business results. During the first quarter of 2023, the ground level office business within the Modular segment was transferred to the Storage segment, and associated revenues, expenses, and operating metrics were transferred to the Storage segment. All periods presented have been retrospectively revised to reflect this adjustment within the Modular and Storage segments. For the year ended December 31, 2022, this resulted in approximately $49.8 million of revenue and $28.5 million of gross profit being transferred from the Modular segment to the Storage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45"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the Company launched a unified go-to market approach to achieve local product unification within each metropolitan statistical area. In connection with this change in operating model, the Company realigned the composition of its segments to reflect how its Chief Operating Decision Maker reviews information to make operating decisions and assess performance. As a result, the Company concluded that its divisions represent its operating segments, which are aggregated into one reportable segment as the divisions have similar economic characteristics, offer similar products to similar customers, use similar methods to distribute products and are subject to similar competitive risks. This change in reportable segments will be reflected in our financial statements beginning in 2024.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Customer Relationship Management ("CRM") System</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On February 6, 2023, we successfully completed the harmonization of our separate Modular and Storage CRM systems onto a single unified system. With this enhanced platform, we have a combined view of our customers and projects across the entire sales team. Going forward, we will focus on productivity management and building a more targeted and predictive approach to anticipate and service customer demand, with continued improvement in engagement and outreach underpinned by our data warehouse.</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Business Combinations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During 2023, we acquired a U.S. national provider of cold storage solutions, which consisted primarily of approximately 2,200 climate-controlled containers and refrigerated storage trailers, a regional modular space manufacturing and leasing business, which consisted primarily of approximately 1,300 modular leasing units, and a U.S. national provider of premium large clearspan structures for total cash consideration of $411.6 million, net of cash acquired.</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 xml:space="preserve">Asset Acquisitions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2023, we also acquired certain assets and liabilities of five regional and local storage and modular companies, which consisted primarily of approximately 1,800 storage units and 700 modular units, for $150.0 million in cash, net of cash acquired. As of the acquisition dates, the fair value of rental equipment acquired was $147.6 million.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Financing Activities</w:t>
      </w:r>
    </w:p>
    <w:p>
      <w:pPr>
        <w:pStyle w:val="TextBody"/>
        <w:bidi w:val="0"/>
        <w:spacing w:lineRule="auto" w:line="288" w:before="0" w:after="120"/>
        <w:ind w:left="0" w:right="0" w:firstLine="720"/>
        <w:jc w:val="both"/>
        <w:rPr/>
      </w:pPr>
      <w:r>
        <w:rPr>
          <w:rFonts w:ascii="Arial;sans-serif" w:hAnsi="Arial;sans-serif"/>
          <w:b w:val="false"/>
          <w:color w:val="000000"/>
          <w:sz w:val="18"/>
        </w:rPr>
        <w:t>On September 25, 2023, Williams Scotsman, Inc. (“WSI”), a subsidiary of the Company, completed a private offering of $500.0 million in aggregate principal amount of 7.375% senior secured notes due 2031 (the "2031 Secur</w:t>
      </w:r>
      <w:r>
        <w:rPr>
          <w:rFonts w:ascii="Arial;sans-serif" w:hAnsi="Arial;sans-serif"/>
          <w:b w:val="false"/>
          <w:color w:val="000000"/>
          <w:sz w:val="18"/>
          <w:shd w:fill="FFFFFF" w:val="clear"/>
        </w:rPr>
        <w:t xml:space="preserve">ed Notes") </w:t>
      </w:r>
      <w:r>
        <w:rPr>
          <w:rFonts w:ascii="Arial;sans-serif" w:hAnsi="Arial;sans-serif"/>
          <w:b w:val="false"/>
          <w:color w:val="000000"/>
          <w:sz w:val="18"/>
        </w:rPr>
        <w:t>to qualified institutional buyers pursuant to Rule 144A of the Securities Act of 1933, as amended</w:t>
      </w:r>
      <w:r>
        <w:rPr>
          <w:rFonts w:ascii="Arial;sans-serif" w:hAnsi="Arial;sans-serif"/>
          <w:b w:val="false"/>
          <w:color w:val="000000"/>
          <w:sz w:val="18"/>
          <w:shd w:fill="FFFFFF" w:val="clear"/>
        </w:rPr>
        <w:t>. P</w:t>
      </w:r>
      <w:r>
        <w:rPr>
          <w:rFonts w:ascii="Arial;sans-serif" w:hAnsi="Arial;sans-serif"/>
          <w:b w:val="false"/>
          <w:color w:val="000000"/>
          <w:sz w:val="18"/>
        </w:rPr>
        <w:t>roceeds were used to repay approximately $494.0 million of outstanding indebtedness under the ABL Facility and certain fees and expenses.</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Interest Rate Swap Agreements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2023, the Company entered into two interest rate swap agreements with financial counterparties relating to $750.0 million in aggregate notional amount of variable-rate debt under the ABL Facility. Under the terms of the agreements, the Company receives a floating rate equal to one-month term SOFR and will make payments based on a weighted average effective fixed interest rate of 3.44% on the notional amount. The swap agreements were designated and qualified as hedges of the Company’s exposure to changes in interest payment cash flows created by fluctuations in variable interest rates on the ABL Facility. The swap agreements terminate on June 30, 2027.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the Company entered into two interest rate swap agreements with financial counterparties relating to $500.0 million in aggregate notional amount of variable-rate debt under the Company's ABL Facility. Under the terms of the agreements, the Company receives a floating rate equal to one-month term SOFR and will make payments based on a weighted average fixed interest rate of 3.70% on the notional amount. The swap agreements were designated and qualified as hedges of the Company's exposure to changes in interest payment cash flows created by fluctuations in variable interest rates on the ABL Facility. The swap agreements terminate on June 30, 2027.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Share Repurchases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May 2023, our Board of Directors approved a reset of our share repurchase program authorizing us to repurchase up to $1.0 billion of our outstanding shares of Common Stock and equivalents. During the year ended December 31, 2023, we repurchased 18,533,819 shares of Common Stock for $810.8 million. As of December 31, 2023, $498.2 million of the approved share repurchase pool remained available. </w:t>
      </w:r>
    </w:p>
    <w:p>
      <w:pPr>
        <w:pStyle w:val="TextBody"/>
        <w:bidi w:val="0"/>
        <w:spacing w:lineRule="auto" w:line="288" w:before="0" w:after="60"/>
        <w:jc w:val="both"/>
        <w:rPr>
          <w:rFonts w:ascii="Arial;sans-serif" w:hAnsi="Arial;sans-serif"/>
          <w:b/>
          <w:i/>
          <w:color w:val="000000"/>
          <w:sz w:val="18"/>
        </w:rPr>
      </w:pPr>
      <w:r>
        <w:rPr>
          <w:rFonts w:ascii="Arial;sans-serif" w:hAnsi="Arial;sans-serif"/>
          <w:b/>
          <w:i/>
          <w:color w:val="000000"/>
          <w:sz w:val="18"/>
        </w:rPr>
        <w:t>Inflation</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Similar to many other organizations, we have faced inflationary pressures over the past several years across most of our input costs such as building materials, labor, transportation and fuel. Inflation has contributed to increased capital costs both for new units as well as for refurbishment of our existing units. However, given our scale and our strong rate performance, we believe we have been able to navigate the inflationary environment well and have consistently driven margin improvements during this period of rising costs.</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46"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Business Environment and Outlook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customers operate in a diversified set of end markets, including construction, commercial and industrial, retail and wholesale trade, energy and natural resources, education, government and institutions and healthcare. We track several market leading indicators to predict demand, including those related to our two largest end markets, the commercial and industrial sector and the construction sector, which collectively accounted for approximately 85% of our revenues in the year ended December 31, 2023.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Core to our operating model is the ability to redeploy standardized assets across end markets, as we did over the last few years to service emerging demand in the healthcare and government sectors related to COVID-19. We remain focused on our core priorities of growing leasing revenues by increasing units on rent, both organically and through mergers and acquisitions, delivering "Ready to Work" solutions to our customers with VAPS, and continually improving the overall customer experience.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Even in an uncertain macro-economic environment, market catalysts such as increased infrastructure spending and onshoring and reshoring, and idiosyncratic growth levers such as continued penetration of our customer base with our VAPS offering, long-term pricing tailwinds, cross-selling between our Modular and Storage segment customers, and other commercial best practice sharing between our segments provide us confidence in our continued organic growth outlook.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Components of Our Consolidated Historical Results of Operations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Revenue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revenue consists mainly of leasing, services and sales revenue. We derive our leasing and services revenue primarily from the leasing of modular space and portable storage units. Included in leasing revenue are VAPS, such as furniture, steps, ramps, basic appliances, internet connectivity devices, integral tool racking, heavy duty capacity shelving, workstations, electrical and lighting products, and other items our customers use in connection with our products. Delivery and installation revenue includes fees that we charge for the delivery, site work, installation, disassembly, unhooking and removal, and other services to our customers for an additional fee as part of our leasing and sales operations. </w:t>
      </w:r>
    </w:p>
    <w:p>
      <w:pPr>
        <w:pStyle w:val="TextBody"/>
        <w:bidi w:val="0"/>
        <w:spacing w:lineRule="auto" w:line="288" w:before="0" w:after="60"/>
        <w:ind w:left="0" w:right="0" w:firstLine="720"/>
        <w:jc w:val="left"/>
        <w:rPr>
          <w:rFonts w:ascii="Arial;sans-serif" w:hAnsi="Arial;sans-serif"/>
          <w:b w:val="false"/>
          <w:color w:val="000000"/>
          <w:sz w:val="18"/>
        </w:rPr>
      </w:pPr>
      <w:r>
        <w:rPr>
          <w:rFonts w:ascii="Arial;sans-serif" w:hAnsi="Arial;sans-serif"/>
          <w:b w:val="false"/>
          <w:color w:val="000000"/>
          <w:sz w:val="18"/>
        </w:rPr>
        <w:t>The key drivers of changes in our leasing revenue are:</w:t>
      </w:r>
    </w:p>
    <w:p>
      <w:pPr>
        <w:pStyle w:val="TextBody"/>
        <w:bidi w:val="0"/>
        <w:spacing w:lineRule="auto" w:line="288" w:before="0" w:after="60"/>
        <w:jc w:val="left"/>
        <w:rPr/>
      </w:pPr>
      <w:r>
        <w:rPr>
          <w:color w:val="000000"/>
        </w:rPr>
        <w:t>•</w:t>
      </w:r>
      <w:r>
        <w:rPr>
          <w:rFonts w:ascii="Arial;sans-serif" w:hAnsi="Arial;sans-serif"/>
          <w:b w:val="false"/>
          <w:color w:val="000000"/>
          <w:sz w:val="18"/>
        </w:rPr>
        <w:t>the average number of units on rent;</w:t>
      </w:r>
    </w:p>
    <w:p>
      <w:pPr>
        <w:pStyle w:val="TextBody"/>
        <w:bidi w:val="0"/>
        <w:spacing w:lineRule="auto" w:line="288" w:before="0" w:after="60"/>
        <w:jc w:val="both"/>
        <w:rPr/>
      </w:pPr>
      <w:r>
        <w:rPr>
          <w:color w:val="000000"/>
        </w:rPr>
        <w:t>•</w:t>
      </w:r>
      <w:r>
        <w:rPr>
          <w:rFonts w:ascii="Arial;sans-serif" w:hAnsi="Arial;sans-serif"/>
          <w:b w:val="false"/>
          <w:color w:val="000000"/>
          <w:sz w:val="18"/>
        </w:rPr>
        <w:t>the average monthly rental rate per unit, including VAPS.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average number of units on rent during a period represents the number of units in use from the time they are leased to a customer until the time they are returned to us. Our average monthly rental rate per unit for a period is equal to the ratio of (i) our rental income for that period including VAPS but excluding delivery and installation services and other leasing-related revenues, to (ii) the average number of lease units rented to our customers during that period. We also measure the average utilization rate of our lease units, which is the ratio of (i) the average number of units on rent to (ii) the average total number of units available for lease in our fleet during a period.</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 addition to leasing revenue, we also generate revenue from sales of new and used modular space and portable storage units to our customers, as well as delivery, installation, maintenance, removal services and other incidental items related to accommodation services for our customers. Included in our sales revenue are charges for modifying or customizing sales equipment to customers’ specifications.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Gross Profit</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We define gross profit as the difference between total revenues and cost of revenues. Cost of revenues associated with our leasing business includes payroll and payroll-related costs for branch operations personnel, material and other costs related to the repair, maintenance, storage and transportation of rental equipment. Cost of revenues also includes depreciation expense associated with our rental equipment. Cost of revenues associated with our new unit sales business includes the cost to </w:t>
      </w:r>
      <w:r>
        <w:rPr>
          <w:rFonts w:ascii="Arial;sans-serif" w:hAnsi="Arial;sans-serif"/>
          <w:b w:val="false"/>
          <w:color w:val="000000"/>
          <w:sz w:val="18"/>
          <w:shd w:fill="FFFFFF" w:val="clear"/>
        </w:rPr>
        <w:t>purchase</w:t>
      </w:r>
      <w:r>
        <w:rPr>
          <w:rFonts w:ascii="Arial;sans-serif" w:hAnsi="Arial;sans-serif"/>
          <w:b w:val="false"/>
          <w:color w:val="000000"/>
          <w:sz w:val="18"/>
        </w:rPr>
        <w:t>, assemble, transport and customize units that are sold. Cost of revenues for our rental unit sales consist primarily of the net book value of the unit at date of sale.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Selling, General and Administrative Expense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Our selling, general and administrative (“SG&amp;A”) expense includes all costs associated with our selling efforts, including marketing costs, marketing salaries and benefits, as well as the salary and commissions of sales personnel. It also includes the leasing of facilities we occupy, professional fees and information systems, our overhead costs, such as salaries and other employee costs of management, administrative and corporate personnel, and integration costs associated with acquisitions and business combinations.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Other Depreciation and Amortization</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Other depreciation and amortization includes depreciation of our property, plant and equipment, as well as the amortization of our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47"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Currency Losses, Net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Currency losses, net includes unrealized and realized gains and losses on monetary assets and liabilities denominated in foreign currencies other than our functional currency at the reporting date.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Other (Income) Expense, Net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Other (income) expense, net primarily consists of the gain (loss) on disposal of non-operational property, plant and equipment, insurance proceeds, other financing related costs and other non-recurring charges.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Interest Expense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Interest expense consists of the costs of external debt including the Company’s ABL credit facility, 2025 Secured Notes, 2028 Secured Notes, 2031 Secured Notes and interest on obligations under finance leases.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Fair Value Loss on Common Stock Warrant Liabilities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2021, fair value loss on common stock warrant liabilities consists of non-cash gains and losses recorded related to changes in the fair value of common stock warrant liabilities as the common stock warrant liabilities are marked-to-market liabilities. It also includes gains and losses recorded related to the settlement of common stock warrant liabilities.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Loss on Extinguishment of Debt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2021, using cash on hand and borrowings on the ABL Facility, we redeemed $123.5 million of our 2025 Secured Notes and recorded a loss on extinguishment of debt.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Income Tax Expense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After the sale of the UK Storage Solutions segment, we are subject to income taxes in the US, Canada, and Mexico. Our overall effective tax rate is affected by a number of factors, such as the relative amounts of income we earn in differing tax jurisdictions, tax law changes, and certain non-deductible expenses such as compensation disallowance. The rate is also affected by discrete items that may occur in any given year, such as legislative enactments. These discrete items may not be consistent from year to year. Income tax expense (benefit), deferred tax assets and liabilities and liabilities for unrecognized tax benefits reflect our best estimate of current and future taxes to be paid.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Income from Discontinued Operations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Income from discontinued operations was related to the former Tank and Pump and UK Storage Solutions segments which were sold in 2022 and 2023, respectively.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48"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Consolidated Results of Operations</w:t>
      </w:r>
    </w:p>
    <w:p>
      <w:pPr>
        <w:pStyle w:val="TextBody"/>
        <w:bidi w:val="0"/>
        <w:spacing w:lineRule="auto" w:line="288" w:before="0" w:after="60"/>
        <w:ind w:left="0" w:right="0" w:firstLine="720"/>
        <w:jc w:val="both"/>
        <w:rPr/>
      </w:pPr>
      <w:r>
        <w:rPr>
          <w:rFonts w:ascii="Arial;sans-serif" w:hAnsi="Arial;sans-serif"/>
          <w:b w:val="false"/>
          <w:color w:val="000000"/>
          <w:sz w:val="18"/>
        </w:rPr>
        <w:t>Certain consolidated results of operations for th</w:t>
      </w:r>
      <w:r>
        <w:rPr>
          <w:rFonts w:ascii="Arial;sans-serif" w:hAnsi="Arial;sans-serif"/>
          <w:b w:val="false"/>
          <w:color w:val="000000"/>
          <w:sz w:val="18"/>
          <w:shd w:fill="FFFFFF" w:val="clear"/>
        </w:rPr>
        <w:t xml:space="preserve">e years ended December 31, 2023, 2022, and 2021 </w:t>
      </w:r>
      <w:r>
        <w:rPr>
          <w:rFonts w:ascii="Arial;sans-serif" w:hAnsi="Arial;sans-serif"/>
          <w:b w:val="false"/>
          <w:color w:val="000000"/>
          <w:sz w:val="18"/>
        </w:rPr>
        <w:t xml:space="preserve">are presented below. </w:t>
      </w:r>
    </w:p>
    <w:tbl>
      <w:tblPr>
        <w:tblW w:w="10205" w:type="dxa"/>
        <w:jc w:val="right"/>
        <w:tblInd w:w="0" w:type="dxa"/>
        <w:tblLayout w:type="fixed"/>
        <w:tblCellMar>
          <w:top w:w="28" w:type="dxa"/>
          <w:left w:w="28" w:type="dxa"/>
          <w:bottom w:w="28" w:type="dxa"/>
          <w:right w:w="28" w:type="dxa"/>
        </w:tblCellMar>
      </w:tblPr>
      <w:tblGrid>
        <w:gridCol w:w="998"/>
        <w:gridCol w:w="615"/>
        <w:gridCol w:w="61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52"/>
        <w:gridCol w:w="987"/>
        <w:gridCol w:w="130"/>
        <w:gridCol w:w="109"/>
        <w:gridCol w:w="109"/>
        <w:gridCol w:w="109"/>
        <w:gridCol w:w="249"/>
        <w:gridCol w:w="976"/>
        <w:gridCol w:w="185"/>
      </w:tblGrid>
      <w:tr>
        <w:trPr/>
        <w:tc>
          <w:tcPr>
            <w:tcW w:w="99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2023 vs. 2022 Change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FFFFFF"/>
                <w:sz w:val="18"/>
              </w:rPr>
              <w:t>2022</w:t>
            </w:r>
            <w:r>
              <w:rPr>
                <w:color w:val="FFFFFF"/>
              </w:rPr>
              <w:t xml:space="preserve"> </w:t>
            </w:r>
            <w:r>
              <w:rPr>
                <w:rFonts w:ascii="Arial;sans-serif" w:hAnsi="Arial;sans-serif"/>
                <w:b/>
                <w:color w:val="FFFFFF"/>
                <w:sz w:val="18"/>
              </w:rPr>
              <w:t>vs 2021 Change</w:t>
            </w:r>
          </w:p>
        </w:tc>
      </w:tr>
      <w:tr>
        <w:trPr/>
        <w:tc>
          <w:tcPr>
            <w:tcW w:w="223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1,833,935 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1,621,690 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1,252,490 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212,245 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369,200 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(5,919)</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222,144 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469,643 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282,576 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21,599 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94,292 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1,333,870 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1,135,482 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844,703 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198,388 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290,779 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596,090 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567,407 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480,407 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28,683 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87,000 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5,868 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673,459 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511,482 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161,977 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211,105 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loss on common stock warrant liabilities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(26,597)</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468,419 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151,423 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103,215 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213,781 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continuing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276,341 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65,503 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161,446 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Discontinued operations: </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(59,465)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9,743 </w:t>
            </w:r>
          </w:p>
        </w:tc>
        <w:tc>
          <w:tcPr>
            <w:tcW w:w="13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22,707 </w:t>
            </w:r>
          </w:p>
        </w:tc>
        <w:tc>
          <w:tcPr>
            <w:tcW w:w="18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63,199 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45,249 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71,414 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17,950 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136,917 </w:t>
            </w:r>
          </w:p>
        </w:tc>
        <w:tc>
          <w:tcPr>
            <w:tcW w:w="1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179,396 </w:t>
            </w:r>
          </w:p>
        </w:tc>
        <w:tc>
          <w:tcPr>
            <w:tcW w:w="18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2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49"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44</w:t>
                      </w:r>
                    </w:p>
                  </w:txbxContent>
                </v:textbox>
                <w10:wrap type="none"/>
              </v:rect>
            </w:pict>
          </mc:Fallback>
        </mc:AlternateContent>
      </w:r>
    </w:p>
    <w:p>
      <w:pPr>
        <w:pStyle w:val="TextBody"/>
        <w:bidi w:val="0"/>
        <w:spacing w:before="0" w:after="60"/>
        <w:jc w:val="left"/>
        <w:rPr/>
      </w:pPr>
      <w:r>
        <w:rPr/>
      </w:r>
    </w:p>
    <w:tbl>
      <w:tblPr>
        <w:tblW w:w="10205" w:type="dxa"/>
        <w:jc w:val="right"/>
        <w:tblInd w:w="0" w:type="dxa"/>
        <w:tblLayout w:type="fixed"/>
        <w:tblCellMar>
          <w:top w:w="28" w:type="dxa"/>
          <w:left w:w="28" w:type="dxa"/>
          <w:bottom w:w="28" w:type="dxa"/>
          <w:right w:w="28" w:type="dxa"/>
        </w:tblCellMar>
      </w:tblPr>
      <w:tblGrid>
        <w:gridCol w:w="1225"/>
        <w:gridCol w:w="691"/>
        <w:gridCol w:w="68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60"/>
        <w:gridCol w:w="109"/>
        <w:gridCol w:w="109"/>
        <w:gridCol w:w="109"/>
        <w:gridCol w:w="109"/>
        <w:gridCol w:w="211"/>
        <w:gridCol w:w="860"/>
        <w:gridCol w:w="158"/>
      </w:tblGrid>
      <w:tr>
        <w:trPr/>
        <w:tc>
          <w:tcPr>
            <w:tcW w:w="122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Data:</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from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204,756 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from investing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(384,047)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(40,670)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74,714 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from 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(261,481)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Financial Data:</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EBITDA from continuing operations</w:t>
            </w:r>
            <w:r>
              <w:rPr>
                <w:rFonts w:ascii="Arial;sans-serif" w:hAnsi="Arial;sans-serif"/>
                <w:b w:val="false"/>
                <w:color w:val="000000"/>
                <w:sz w:val="12"/>
              </w:rPr>
              <w:t>(a)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1,061,465 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883,874 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649,604 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234,270 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EBITDA from discontinued operations</w:t>
            </w:r>
            <w:r>
              <w:rPr>
                <w:rFonts w:ascii="Arial;sans-serif" w:hAnsi="Arial;sans-serif"/>
                <w:b w:val="false"/>
                <w:color w:val="000000"/>
                <w:sz w:val="12"/>
              </w:rPr>
              <w:t>(a)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EBITDA from continuing and discontinued operations</w:t>
            </w:r>
            <w:r>
              <w:rPr>
                <w:rFonts w:ascii="Arial;sans-serif" w:hAnsi="Arial;sans-serif"/>
                <w:b w:val="false"/>
                <w:color w:val="000000"/>
                <w:sz w:val="12"/>
              </w:rPr>
              <w:t>(a)</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1,065,589 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969,624 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740,393 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95,965 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229,231 </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Free Cash Flow</w:t>
            </w:r>
            <w:r>
              <w:rPr>
                <w:rFonts w:ascii="Arial;sans-serif" w:hAnsi="Arial;sans-serif"/>
                <w:b w:val="false"/>
                <w:color w:val="000000"/>
                <w:sz w:val="12"/>
              </w:rPr>
              <w:t>(a)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576,589 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303,027 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27,307 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Adjusted Gross Profit</w:t>
            </w:r>
            <w:r>
              <w:rPr>
                <w:rFonts w:ascii="Arial;sans-serif" w:hAnsi="Arial;sans-serif"/>
                <w:b w:val="false"/>
                <w:color w:val="000000"/>
                <w:sz w:val="12"/>
              </w:rPr>
              <w:t>(a)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1,599,603 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1,392,201 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1,063,493 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328,708 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CAPEX</w:t>
            </w:r>
            <w:r>
              <w:rPr>
                <w:rFonts w:ascii="Arial;sans-serif" w:hAnsi="Arial;sans-serif"/>
                <w:b w:val="false"/>
                <w:color w:val="000000"/>
                <w:sz w:val="12"/>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Sheet Data (end of year):</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299,487 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6,137,915 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5,827,651 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5,773,599 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54,052 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391,211 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1,261,250 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1,565,300 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1,996,763 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(431,463)</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pPr>
      <w:r>
        <w:rPr>
          <w:rFonts w:ascii="Arial;sans-serif" w:hAnsi="Arial;sans-serif"/>
          <w:b w:val="false"/>
          <w:color w:val="000000"/>
          <w:sz w:val="16"/>
          <w:shd w:fill="FFFFFF" w:val="clear"/>
        </w:rPr>
        <w:t>(a) WillScot Mobile Mini presen</w:t>
      </w:r>
      <w:r>
        <w:rPr>
          <w:rFonts w:ascii="Arial;sans-serif" w:hAnsi="Arial;sans-serif"/>
          <w:b w:val="false"/>
          <w:color w:val="000000"/>
          <w:sz w:val="16"/>
        </w:rPr>
        <w:t>ts Adjusted EBITDA, F</w:t>
      </w:r>
      <w:r>
        <w:rPr>
          <w:rFonts w:ascii="Arial;sans-serif" w:hAnsi="Arial;sans-serif"/>
          <w:b w:val="false"/>
          <w:color w:val="000000"/>
          <w:sz w:val="16"/>
          <w:shd w:fill="FFFFFF" w:val="clear"/>
        </w:rPr>
        <w:t>ree Cash Flow, Adjusted Gross Profit and Net CAPEX, which are measurements not calculated in accordance with GAAP and are defined below in the section "Reconciliation of non-GAAP Financial Measures," because they are key metrics used by management to assess financial performance. Our business is capital intensive, and these additional metrics allow management to further evaluate its operating performance. See below for reconciliations of non-GAAP financial measures.</w:t>
      </w:r>
    </w:p>
    <w:tbl>
      <w:tblPr>
        <w:tblW w:w="9552" w:type="dxa"/>
        <w:jc w:val="left"/>
        <w:tblInd w:w="0" w:type="dxa"/>
        <w:tblLayout w:type="fixed"/>
        <w:tblCellMar>
          <w:top w:w="28" w:type="dxa"/>
          <w:left w:w="28" w:type="dxa"/>
          <w:bottom w:w="28" w:type="dxa"/>
          <w:right w:w="28" w:type="dxa"/>
        </w:tblCellMar>
      </w:tblPr>
      <w:tblGrid>
        <w:gridCol w:w="1966"/>
        <w:gridCol w:w="1727"/>
        <w:gridCol w:w="1737"/>
        <w:gridCol w:w="219"/>
        <w:gridCol w:w="640"/>
        <w:gridCol w:w="282"/>
        <w:gridCol w:w="109"/>
        <w:gridCol w:w="109"/>
        <w:gridCol w:w="109"/>
        <w:gridCol w:w="250"/>
        <w:gridCol w:w="608"/>
        <w:gridCol w:w="283"/>
        <w:gridCol w:w="109"/>
        <w:gridCol w:w="109"/>
        <w:gridCol w:w="109"/>
        <w:gridCol w:w="250"/>
        <w:gridCol w:w="607"/>
        <w:gridCol w:w="329"/>
      </w:tblGrid>
      <w:tr>
        <w:trPr/>
        <w:tc>
          <w:tcPr>
            <w:tcW w:w="196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543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for units on rent and monthly rental rate)</w:t>
            </w:r>
          </w:p>
        </w:tc>
        <w:tc>
          <w:tcPr>
            <w:tcW w:w="11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units on rent (average during the period)</w:t>
            </w:r>
          </w:p>
        </w:tc>
        <w:tc>
          <w:tcPr>
            <w:tcW w:w="8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100,822 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104,808 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101,304 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utilization rate</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4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monthly rental rate</w:t>
            </w:r>
          </w:p>
        </w:tc>
        <w:tc>
          <w:tcPr>
            <w:tcW w:w="2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units on rent (average during the period)</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154,386 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169,565 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135,775 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utilization rate</w:t>
            </w:r>
          </w:p>
        </w:tc>
        <w:tc>
          <w:tcPr>
            <w:tcW w:w="8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28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86.8 </w:t>
            </w:r>
          </w:p>
        </w:tc>
        <w:tc>
          <w:tcPr>
            <w:tcW w:w="28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32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monthly rental rate</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 basic</w:t>
            </w:r>
          </w:p>
        </w:tc>
        <w:tc>
          <w:tcPr>
            <w:tcW w:w="21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28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3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Earnings per share - diluted </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 basic</w:t>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198,554,885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216,808,577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226,518,931</w:t>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 diluted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201,849,836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221,399,162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232,793,902</w:t>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Comparison of Years Ended December 31, 2023 and 2022</w:t>
      </w:r>
    </w:p>
    <w:p>
      <w:pPr>
        <w:pStyle w:val="TextBody"/>
        <w:bidi w:val="0"/>
        <w:spacing w:lineRule="auto" w:line="288" w:before="0" w:after="60"/>
        <w:ind w:left="0" w:right="0" w:firstLine="720"/>
        <w:jc w:val="both"/>
        <w:rPr/>
      </w:pPr>
      <w:r>
        <w:rPr>
          <w:rFonts w:ascii="Arial;sans-serif" w:hAnsi="Arial;sans-serif"/>
          <w:b/>
          <w:i/>
          <w:color w:val="000000"/>
          <w:sz w:val="18"/>
        </w:rPr>
        <w:t>Revenue:</w:t>
      </w:r>
      <w:r>
        <w:rPr>
          <w:color w:val="000000"/>
        </w:rPr>
        <w:t xml:space="preserve"> </w:t>
      </w:r>
      <w:r>
        <w:rPr>
          <w:rFonts w:ascii="Arial;sans-serif" w:hAnsi="Arial;sans-serif"/>
          <w:b w:val="false"/>
          <w:color w:val="000000"/>
          <w:sz w:val="18"/>
        </w:rPr>
        <w:t>Total revenue increased $222.1 million, or 10.4%, to $2,364.8 million for the year ended December 31, 2023 from $2,142.6 million for the year ended December 31, 2022. Leasing revenue increased $212.2 million, or 13.1%, as compared to 2022 driven by improved pricing and value-added products penetration, partially offset by a decrease of 19,165, or 7.0%, in total average modular space and portable storage units on rent. Delivery and installation revenues increased $8.0 million, or 1.9%, due to increased pricing across both segments. New unit sales increased $7.8 million, or 19.3%, and rental unit sales decreased $5.9 million, or 11.5%.</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Total average units on rent for the years ended December 31, 2023 and 2022 were 255,208 and 274,373, respectively. Modular space average units on rent decreased 3,986 units, or 3.8%, and portable storage average units on rent decreased by 15,179 units, or 9.0%, for the year ended December 31, 2023 as compared to the year ended December 31, 2022. The average modular space unit utilization rate during the year ended December 31, 2023 was 64.7%, as compared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50"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68.5% during 2022. The average portable storage unit utilization rate during the year ended December 31, 2023 was 73.2%, as compared to 86.8% during 2022.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Modular space average monthly rental rates increased 16.9% to $1,058 for the year ended December 31, 2023. Average portable storage monthly rental rates of $238 represented an increase of $46, or 24.0%, compared to the year ended December 31, 2022. Increases were driven by a continuation of the long-term price optimization and VAPS penetration opportunities across our Modular segment as well as by application of these same price management tools and processes across the Storage segment and from early benefits from increased VAPS penetration opportunities on our basic VAPS offerings in the Storage segment, which began in the second quarter of 2022. </w:t>
      </w:r>
    </w:p>
    <w:p>
      <w:pPr>
        <w:pStyle w:val="TextBody"/>
        <w:bidi w:val="0"/>
        <w:spacing w:lineRule="auto" w:line="288" w:before="0" w:after="60"/>
        <w:ind w:left="0" w:right="0" w:firstLine="720"/>
        <w:jc w:val="both"/>
        <w:rPr/>
      </w:pPr>
      <w:r>
        <w:rPr>
          <w:rFonts w:ascii="Arial;sans-serif" w:hAnsi="Arial;sans-serif"/>
          <w:b/>
          <w:i/>
          <w:color w:val="000000"/>
          <w:sz w:val="18"/>
        </w:rPr>
        <w:t>Gross Profit:</w:t>
      </w:r>
      <w:r>
        <w:rPr>
          <w:color w:val="000000"/>
        </w:rPr>
        <w:t xml:space="preserve"> </w:t>
      </w:r>
      <w:r>
        <w:rPr>
          <w:rFonts w:ascii="Arial;sans-serif" w:hAnsi="Arial;sans-serif"/>
          <w:b w:val="false"/>
          <w:color w:val="000000"/>
          <w:sz w:val="18"/>
        </w:rPr>
        <w:t>Gross profit increased $198.4 million, or 17.5%, to $1,333.9 million for the year ended December 31, 2023 from $1,135.5 million for the year ended December 31, 2022. The increase in gross profit is a result of a $190.6 million increase in leasing gross profit, a $13.5 million increase in delivery and installation gross profit, and a $3.2 million increase of new and rental unit sale margins. Increases were primarily a result of increased revenues due to favorable average monthly rental rates and delivery and installation pricing across both portable storage and modular space units, which offset lower unit on rent volumes. Cost of leasing and services increased by $16.1 million, or 2.3%, for the year ended December 31, 2023 compared to the year ended December 31, 2022, driven by a $23.9 million, or 10.3%, increase in labor costs, a $4.8 million, or 5.1%, increase in vehicle, equipment and other costs, and a $3.2 million, or 3.2%, increase in materials costs, partially offset by a $15.9 million, or 5.8%, decrease in subcontractor costs.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Sales Revenue increased by $1.9 million, or 2.0%, to $93.7 million for the year ended December 31, 2023, while cost of sales decreased by $1.3 million, or 2.6%, resulting in improved sales gross profit margins. The year over year change was mainly driven by increased new unit sales margin.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Increases in gross profit were partially offset by increased depreciation of $9.0 million, or 3.5%, as a result of capital investments made over the past twelve months.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Our gross profit percentage was 56.4% and 53.0% for the years ended December 31, 2023 and 2022, respectively. Our gross profit percentage, excluding the effects of depreciation ("adjusted gross profit percentage"), was 67.6% and 65.0% for the years ended December 31, 2023 and 2022, respectively. These increases were driven primarily by continued price optimization within leasing and execution of VAPS penetration opportunities that have outpaced increases in cost of leasing and services. </w:t>
      </w:r>
    </w:p>
    <w:p>
      <w:pPr>
        <w:pStyle w:val="TextBody"/>
        <w:bidi w:val="0"/>
        <w:spacing w:lineRule="auto" w:line="288" w:before="0" w:after="120"/>
        <w:ind w:left="0" w:right="0" w:firstLine="720"/>
        <w:jc w:val="both"/>
        <w:rPr/>
      </w:pPr>
      <w:r>
        <w:rPr>
          <w:rFonts w:ascii="Arial;sans-serif" w:hAnsi="Arial;sans-serif"/>
          <w:b/>
          <w:i/>
          <w:color w:val="000000"/>
          <w:sz w:val="18"/>
        </w:rPr>
        <w:t>SG&amp;A Expense:</w:t>
      </w:r>
      <w:r>
        <w:rPr>
          <w:color w:val="000000"/>
        </w:rPr>
        <w:t xml:space="preserve"> </w:t>
      </w:r>
      <w:r>
        <w:rPr>
          <w:rFonts w:ascii="Arial;sans-serif" w:hAnsi="Arial;sans-serif"/>
          <w:b w:val="false"/>
          <w:color w:val="000000"/>
          <w:sz w:val="18"/>
        </w:rPr>
        <w:t>SG&amp;A expense increased $28.7 million, or 5.1%, to $596.1 million for the year ended December 31, 2023, compared to $567.4 million for the year ended December 31, 2022. Real estate and occupancy costs increased $10.9 million, or 14.6%, travel expenses increased $4.6 million, or 25.1%, due to increased travel and training, service agreements and professional fees increased $3.9 million, or 5.1%, and non-income business taxes increased $3.5 million, or 47.4%. Our provision for credit losses increased $12.2 million, or 108.7%. Stock compensation expense increased $4.9 million to $34.5 million for the year ended December 31, 2023, compared to $29.6 million for the year ended December 31, 2022. Partially offsetting these increases, integration expenses decreased $5.1 million, or 33.1%, to $10.4 million for the year ended December 31, 2023, compared to $15.5 million for the year ended December 31, 2022. Employee SG&amp;A excluding stock compensation decreased $10.8 million, or 4.0%.</w:t>
      </w:r>
    </w:p>
    <w:p>
      <w:pPr>
        <w:pStyle w:val="TextBody"/>
        <w:bidi w:val="0"/>
        <w:spacing w:lineRule="auto" w:line="288" w:before="0" w:after="120"/>
        <w:ind w:left="0" w:right="0" w:firstLine="720"/>
        <w:jc w:val="both"/>
        <w:rPr/>
      </w:pPr>
      <w:r>
        <w:rPr>
          <w:rFonts w:ascii="Arial;sans-serif" w:hAnsi="Arial;sans-serif"/>
          <w:b/>
          <w:i/>
          <w:color w:val="000000"/>
          <w:sz w:val="18"/>
        </w:rPr>
        <w:t>Other Depreciation and Amortization:</w:t>
      </w:r>
      <w:r>
        <w:rPr>
          <w:color w:val="000000"/>
        </w:rPr>
        <w:t xml:space="preserve"> </w:t>
      </w:r>
      <w:r>
        <w:rPr>
          <w:rFonts w:ascii="Arial;sans-serif" w:hAnsi="Arial;sans-serif"/>
          <w:b w:val="false"/>
          <w:color w:val="000000"/>
          <w:sz w:val="18"/>
        </w:rPr>
        <w:t xml:space="preserve">Other depreciation and amortization increased $10.5 million, or 16.9%, to $72.9 million for the year ended December 31, 2023, compared to $62.4 million for the year ended December 31, 2022. The increase was a result of our recent investments in our CRM system and other infrastructure improvements across our branch networks. </w:t>
      </w:r>
    </w:p>
    <w:p>
      <w:pPr>
        <w:pStyle w:val="TextBody"/>
        <w:bidi w:val="0"/>
        <w:spacing w:lineRule="auto" w:line="288" w:before="0" w:after="120"/>
        <w:ind w:left="0" w:right="0" w:firstLine="720"/>
        <w:jc w:val="both"/>
        <w:rPr/>
      </w:pPr>
      <w:r>
        <w:rPr>
          <w:rFonts w:ascii="Arial;sans-serif" w:hAnsi="Arial;sans-serif"/>
          <w:b/>
          <w:i/>
          <w:color w:val="000000"/>
          <w:sz w:val="18"/>
        </w:rPr>
        <w:t>Currency Losses, net:</w:t>
      </w:r>
      <w:r>
        <w:rPr>
          <w:color w:val="000000"/>
        </w:rPr>
        <w:t xml:space="preserve"> </w:t>
      </w:r>
      <w:r>
        <w:rPr>
          <w:rFonts w:ascii="Arial;sans-serif" w:hAnsi="Arial;sans-serif"/>
          <w:b w:val="false"/>
          <w:color w:val="000000"/>
          <w:sz w:val="18"/>
        </w:rPr>
        <w:t xml:space="preserve">Currency losses, net increased by $5.9 million to $6.8 million for the year ended December 31, 2023 compared to $0.9 million for the year ended December 31, 2022. The increase in currency losses, net, was primarily attributable to a loss on the settlement of the contingent foreign currency forward contract relating to the sale of the former UK Storage Solutions segment. </w:t>
      </w:r>
    </w:p>
    <w:p>
      <w:pPr>
        <w:pStyle w:val="TextBody"/>
        <w:bidi w:val="0"/>
        <w:spacing w:lineRule="auto" w:line="288" w:before="0" w:after="120"/>
        <w:ind w:left="0" w:right="0" w:firstLine="720"/>
        <w:jc w:val="both"/>
        <w:rPr/>
      </w:pPr>
      <w:r>
        <w:rPr>
          <w:rFonts w:ascii="Arial;sans-serif" w:hAnsi="Arial;sans-serif"/>
          <w:b/>
          <w:i/>
          <w:color w:val="000000"/>
          <w:sz w:val="18"/>
        </w:rPr>
        <w:t>Other (Income) Expense, Net:</w:t>
      </w:r>
      <w:r>
        <w:rPr>
          <w:color w:val="000000"/>
        </w:rPr>
        <w:t xml:space="preserve"> </w:t>
      </w:r>
      <w:r>
        <w:rPr>
          <w:rFonts w:ascii="Arial;sans-serif" w:hAnsi="Arial;sans-serif"/>
          <w:b w:val="false"/>
          <w:color w:val="000000"/>
          <w:sz w:val="18"/>
        </w:rPr>
        <w:t>Other income, net was $15.4 million for the year ended December 31, 2023 compared to $6.7 million for the year ended December 31, 2022. The increase in other income, net was related to the gain on sale of fixed assets related to a real estate sale transaction during the year ended December 31, 2023.</w:t>
      </w:r>
    </w:p>
    <w:p>
      <w:pPr>
        <w:pStyle w:val="TextBody"/>
        <w:bidi w:val="0"/>
        <w:spacing w:lineRule="auto" w:line="288" w:before="0" w:after="120"/>
        <w:ind w:left="0" w:right="0" w:firstLine="720"/>
        <w:jc w:val="both"/>
        <w:rPr/>
      </w:pPr>
      <w:r>
        <w:rPr>
          <w:rFonts w:ascii="Arial;sans-serif" w:hAnsi="Arial;sans-serif"/>
          <w:b/>
          <w:i/>
          <w:color w:val="000000"/>
          <w:sz w:val="18"/>
        </w:rPr>
        <w:t>Interest Expense:</w:t>
      </w:r>
      <w:r>
        <w:rPr>
          <w:color w:val="000000"/>
        </w:rPr>
        <w:t xml:space="preserve"> </w:t>
      </w:r>
      <w:r>
        <w:rPr>
          <w:rFonts w:ascii="Arial;sans-serif" w:hAnsi="Arial;sans-serif"/>
          <w:b w:val="false"/>
          <w:color w:val="000000"/>
          <w:sz w:val="18"/>
        </w:rPr>
        <w:t xml:space="preserve">Interest expense increased $58.8 million, or 40.2%, to $205.0 million for the year ended December 31, 2023 from $146.3 million for the year ended December 31, 2022. The increase in interest expense was a result of higher overall weighted average interest rates as a result of increased benchmark rates and higher outstanding debt balances. See Note 10 to the consolidated financial statements for further discussion of our debt. </w:t>
      </w:r>
    </w:p>
    <w:p>
      <w:pPr>
        <w:pStyle w:val="TextBody"/>
        <w:bidi w:val="0"/>
        <w:spacing w:lineRule="auto" w:line="288" w:before="0" w:after="60"/>
        <w:ind w:left="0" w:right="0" w:firstLine="720"/>
        <w:jc w:val="both"/>
        <w:rPr/>
      </w:pPr>
      <w:r>
        <w:rPr>
          <w:rFonts w:ascii="Arial;sans-serif" w:hAnsi="Arial;sans-serif"/>
          <w:b/>
          <w:i/>
          <w:color w:val="000000"/>
          <w:sz w:val="18"/>
        </w:rPr>
        <w:t>Income Tax Expense:</w:t>
      </w:r>
      <w:r>
        <w:rPr>
          <w:color w:val="000000"/>
        </w:rPr>
        <w:t xml:space="preserve"> </w:t>
      </w:r>
      <w:r>
        <w:rPr>
          <w:rFonts w:ascii="Arial;sans-serif" w:hAnsi="Arial;sans-serif"/>
          <w:b w:val="false"/>
          <w:color w:val="000000"/>
          <w:sz w:val="18"/>
        </w:rPr>
        <w:t>Income tax expense increased $37.7 million to $126.6 million for the year ended December 31, 2023 compared to $88.9 million for the year ended December 31, 2022. The increase in income tax expense was driven by an increase in income from continuing operations before income tax for the year ended December 31, 2023 as compared to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51"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ind w:left="0" w:right="0" w:firstLine="720"/>
        <w:jc w:val="both"/>
        <w:rPr/>
      </w:pPr>
      <w:r>
        <w:rPr>
          <w:rFonts w:ascii="Arial;sans-serif" w:hAnsi="Arial;sans-serif"/>
          <w:b/>
          <w:i/>
          <w:color w:val="000000"/>
          <w:sz w:val="18"/>
        </w:rPr>
        <w:t>Income from Discontinued Operations:</w:t>
      </w:r>
      <w:r>
        <w:rPr>
          <w:color w:val="000000"/>
        </w:rPr>
        <w:t xml:space="preserve"> </w:t>
      </w:r>
      <w:r>
        <w:rPr>
          <w:rFonts w:ascii="Arial;sans-serif" w:hAnsi="Arial;sans-serif"/>
          <w:b w:val="false"/>
          <w:color w:val="000000"/>
          <w:sz w:val="18"/>
        </w:rPr>
        <w:t xml:space="preserve">Income from discontinued operations increased $71.4 million to $134.6 million for the year ended December 31, 2023 compared to $63.2 million for the year ended December 31, 2022. The increase in income from discontinued operations was driven by the increase in gain on sale of discontinued operations of $140.6 million to a total of $176.1 million for the year ended December 31, 2023 compared to $35.5 million for the year ended December 31, 2022, partially offset by having no contribution from the former Tank and Pump segment and only one month of activity for the former UK Storage Solutions segment in 2023 and an increase in income tax expense from discontinued operations.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Comparison of Years Ended December 31, 2022 and 2021</w:t>
      </w:r>
    </w:p>
    <w:p>
      <w:pPr>
        <w:pStyle w:val="TextBody"/>
        <w:bidi w:val="0"/>
        <w:spacing w:lineRule="auto" w:line="288" w:before="0" w:after="60"/>
        <w:ind w:left="0" w:right="0" w:firstLine="720"/>
        <w:jc w:val="both"/>
        <w:rPr/>
      </w:pPr>
      <w:r>
        <w:rPr>
          <w:rFonts w:ascii="Arial;sans-serif" w:hAnsi="Arial;sans-serif"/>
          <w:b/>
          <w:i/>
          <w:color w:val="000000"/>
          <w:sz w:val="18"/>
        </w:rPr>
        <w:t>Revenue:</w:t>
      </w:r>
      <w:r>
        <w:rPr>
          <w:color w:val="000000"/>
        </w:rPr>
        <w:t xml:space="preserve"> </w:t>
      </w:r>
      <w:r>
        <w:rPr>
          <w:rFonts w:ascii="Arial;sans-serif" w:hAnsi="Arial;sans-serif"/>
          <w:b w:val="false"/>
          <w:color w:val="000000"/>
          <w:sz w:val="18"/>
        </w:rPr>
        <w:t>Total revenue increased $469.6 million, or 28.1%, to $2,142.6 million for the year ended December 31, 2022 from $1,673.0 million for the year ended December 31, 2021. Leasing revenue increased $369.2 million, or 29.5%, as compared to 2021 driven by an increase of 37,294, or 15.7%, total average modular space and portable storage units on rent and improved pricing and value-added products. Delivery and installation revenues increased $108.0 million, or 33.6%, due to increased overall activity and higher pricing. New unit sales decreased $6.7 million, or 14.2%, and rental unit sales decreased $0.9 million, or 1.8%.</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Total average modular space and portable storage units on rent for the years ended December 31, 2022 and 2021 were 274,373 and 237,079, respectively. The increase was primarily driven by strong customer demand within the storage segment and due to acquisitions. In total, modular space average units on rent increased 3,504 units, or 3.5%, for the year ended December 31, 2022 as compared to the year ended December 31, 2021. Modular space average monthly rental rates increased 18.3% to $905 for the year ended December 31, 2022. Improved pricing was driven by a continuation of the long-term price optimization and VAPS penetration opportunities across our portfolio. Portable storage average units on rent increased by 33,790 units, or 24.9%, for the year ended December 31, 2022. Average portable storage monthly rental rates of $192 represented an increase of $37, or 23.9%, compared to the year ended December 31, 2021. This increase was driven by the accretive impact of higher rates from the Mobile Mini portable storage fleet. The average modular space unit utilization rate during the year ended December 31, 2022 was 68.5%, as compared to 69.2% during 2021. The average portable storage unit utilization rate during the year ended December 31, 2022 was 86.8%, as compared to 80.1% during 2021. </w:t>
      </w:r>
    </w:p>
    <w:p>
      <w:pPr>
        <w:pStyle w:val="TextBody"/>
        <w:bidi w:val="0"/>
        <w:spacing w:lineRule="auto" w:line="288" w:before="0" w:after="60"/>
        <w:ind w:left="0" w:right="0" w:firstLine="720"/>
        <w:jc w:val="both"/>
        <w:rPr/>
      </w:pPr>
      <w:r>
        <w:rPr>
          <w:rFonts w:ascii="Arial;sans-serif" w:hAnsi="Arial;sans-serif"/>
          <w:b/>
          <w:i/>
          <w:color w:val="000000"/>
          <w:sz w:val="18"/>
        </w:rPr>
        <w:t>Gross Profit:</w:t>
      </w:r>
      <w:r>
        <w:rPr>
          <w:color w:val="000000"/>
        </w:rPr>
        <w:t xml:space="preserve"> </w:t>
      </w:r>
      <w:r>
        <w:rPr>
          <w:rFonts w:ascii="Arial;sans-serif" w:hAnsi="Arial;sans-serif"/>
          <w:b w:val="false"/>
          <w:color w:val="000000"/>
          <w:sz w:val="18"/>
        </w:rPr>
        <w:t>Gross profit increased $290.8 million, or 34.4%, to $1,135.5 million for the year ended December 31, 2022 from $844.7 million for the year ended December 31, 2021. The increase in gross profit is a result of a $274.9 million increase in leasing gross profit, increased delivery and installation gross profit of $52.9 million, and increased new and rental unit sale margins of $0.9 million. Increases were primarily a result of increased revenues due to favorable average monthly rental rates and delivery and installation pricing across both portable storage and modular space units, which offset lower unit on rent volumes. Cost of leasing and services increased by $149.4 million, or 27.2%, to $699.5 million for the year ended December 31, 2022 from $550.1 million the year ended December 31, 2021, driven by a $59.3 million, or 34.9%, increase in labor costs, a $56.1 million, or 26.1%, increase in subcontractor costs, a $23.8 million, or 33.7%, increase in vehicle, equipment and other costs, and a $10.2 million, or 10.8%, increase in material costs. Cost of sales decreased by $8.5 million, or 14.3%, which is in line with decreased sales revenues of 7.6% for the year ended December 31, 2022, resulting in improved sales gross profit margins. The year over year changes in each of these cost components was consistent with historical trends and management's expectations given the change in sales volume and inflationary pressures impacting our business.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These increases were partially offset by increased depreciation of $37.9 million as a result of acquired fleet and capital investments made over the past twelve months in our existing rental equipment.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Our gross profit percentage was 53.0% and 50.5% for the years ended December 31, 2022 and 2021, respectively. Our gross profit percentage, excluding the effects of depreciation ("adjusted gross profit percentage"), was 65.0% and 63.6% for the years ended December 31, 2022 and 2021, respectively.</w:t>
      </w:r>
    </w:p>
    <w:p>
      <w:pPr>
        <w:pStyle w:val="TextBody"/>
        <w:bidi w:val="0"/>
        <w:spacing w:lineRule="auto" w:line="288" w:before="0" w:after="120"/>
        <w:ind w:left="0" w:right="0" w:firstLine="720"/>
        <w:jc w:val="both"/>
        <w:rPr/>
      </w:pPr>
      <w:r>
        <w:rPr>
          <w:rFonts w:ascii="Arial;sans-serif" w:hAnsi="Arial;sans-serif"/>
          <w:b/>
          <w:i/>
          <w:color w:val="000000"/>
          <w:sz w:val="18"/>
        </w:rPr>
        <w:t>SG&amp;A Expense:</w:t>
      </w:r>
      <w:r>
        <w:rPr>
          <w:color w:val="000000"/>
        </w:rPr>
        <w:t xml:space="preserve"> </w:t>
      </w:r>
      <w:r>
        <w:rPr>
          <w:rFonts w:ascii="Arial;sans-serif" w:hAnsi="Arial;sans-serif"/>
          <w:b w:val="false"/>
          <w:color w:val="000000"/>
          <w:sz w:val="18"/>
        </w:rPr>
        <w:t xml:space="preserve">SG&amp;A expense increased $87.0 million, or 18.1%, to $567.4 million for the year ended December 31, 2022, compared to $480.4 million for the year ended December 31, 2021. For 2022, SG&amp;A expense for Modular and Storage totaled $304.9 million and $215.7 million respectively. Employee costs excluding stock compensation increased $57.6 million, or 27.3%, driven by a 12% increase in SG&amp;A headcount to support both organic and inorganic growth. Legal and professional fees increased $23.8 million, or 45.5%. Stock compensation expense increased $10.6 million to $29.6 million for the year ended December 31, 2022, compared to $19.0 million for the year ended December 31, 2021. Integration costs decreased $12.9 million to $15.5 million for the year ended December 31, 2022, compared to $28.4 million for the year ended December 31, 2021. The remaining increases were primarily driven by increased economic activity and inflationary increases, including increased occupancy and office costs, insurance, travel expenses, and marketing cost increases. . </w:t>
      </w:r>
    </w:p>
    <w:p>
      <w:pPr>
        <w:pStyle w:val="TextBody"/>
        <w:bidi w:val="0"/>
        <w:spacing w:lineRule="auto" w:line="288" w:before="0" w:after="120"/>
        <w:ind w:left="0" w:right="0" w:firstLine="720"/>
        <w:jc w:val="both"/>
        <w:rPr/>
      </w:pPr>
      <w:r>
        <w:rPr>
          <w:rFonts w:ascii="Arial;sans-serif" w:hAnsi="Arial;sans-serif"/>
          <w:b/>
          <w:i/>
          <w:color w:val="000000"/>
          <w:sz w:val="18"/>
        </w:rPr>
        <w:t>Other Depreciation and Amortization:</w:t>
      </w:r>
      <w:r>
        <w:rPr>
          <w:color w:val="000000"/>
        </w:rPr>
        <w:t xml:space="preserve"> </w:t>
      </w:r>
      <w:r>
        <w:rPr>
          <w:rFonts w:ascii="Arial;sans-serif" w:hAnsi="Arial;sans-serif"/>
          <w:b w:val="false"/>
          <w:color w:val="000000"/>
          <w:sz w:val="18"/>
        </w:rPr>
        <w:t xml:space="preserve">Other depreciation and amortization increased $0.6 million, or 1.0%, to $62.4 million for the year ended December 31, 2022, compared to $61.8 million for the year ended December 31, 2021. </w:t>
      </w:r>
    </w:p>
    <w:p>
      <w:pPr>
        <w:pStyle w:val="TextBody"/>
        <w:bidi w:val="0"/>
        <w:spacing w:lineRule="auto" w:line="288" w:before="0" w:after="120"/>
        <w:ind w:left="0" w:right="0" w:firstLine="720"/>
        <w:jc w:val="both"/>
        <w:rPr/>
      </w:pPr>
      <w:r>
        <w:rPr>
          <w:rFonts w:ascii="Arial;sans-serif" w:hAnsi="Arial;sans-serif"/>
          <w:b/>
          <w:i/>
          <w:color w:val="000000"/>
          <w:sz w:val="18"/>
        </w:rPr>
        <w:t>Currency Losses, net:</w:t>
      </w:r>
      <w:r>
        <w:rPr>
          <w:color w:val="000000"/>
        </w:rPr>
        <w:t xml:space="preserve"> </w:t>
      </w:r>
      <w:r>
        <w:rPr>
          <w:rFonts w:ascii="Arial;sans-serif" w:hAnsi="Arial;sans-serif"/>
          <w:b w:val="false"/>
          <w:color w:val="000000"/>
          <w:sz w:val="18"/>
        </w:rPr>
        <w:t xml:space="preserve">Currency losses, net increased by $0.5 million to a $0.9 million loss for the year ended December 31, 2022 compared to $0.4 million for the year ended December 31, 2021. The increase in currency losses, net, was primarily attributable to the impact of foreign currency exchange rate changes on intercompany receivables and payables denominated in a currency other than the subsidiaries’ functional currency. </w:t>
      </w:r>
    </w:p>
    <w:p>
      <w:pPr>
        <w:pStyle w:val="TextBody"/>
        <w:bidi w:val="0"/>
        <w:spacing w:lineRule="auto" w:line="288" w:before="0" w:after="120"/>
        <w:ind w:left="0" w:right="0" w:firstLine="720"/>
        <w:jc w:val="both"/>
        <w:rPr/>
      </w:pPr>
      <w:r>
        <w:rPr>
          <w:rFonts w:ascii="Arial;sans-serif" w:hAnsi="Arial;sans-serif"/>
          <w:b/>
          <w:i/>
          <w:color w:val="000000"/>
          <w:sz w:val="18"/>
        </w:rPr>
        <w:t>Other (Income) Expense, Net:</w:t>
      </w:r>
      <w:r>
        <w:rPr>
          <w:color w:val="000000"/>
        </w:rPr>
        <w:t xml:space="preserve"> </w:t>
      </w:r>
      <w:r>
        <w:rPr>
          <w:rFonts w:ascii="Arial;sans-serif" w:hAnsi="Arial;sans-serif"/>
          <w:b w:val="false"/>
          <w:color w:val="000000"/>
          <w:sz w:val="18"/>
        </w:rPr>
        <w:t xml:space="preserve">Other (income) expense, net was $6.7 million of income for the year ended December 31, 2022 and $1.7 million of expense for the year ended year ended December 31, 2021. The increase 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52"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(income) expense, net is primarily related to insurance recoveries received in 2022 related to Hurricane Ida in the Gulf Coast ares of the United States in 2021. </w:t>
      </w:r>
    </w:p>
    <w:p>
      <w:pPr>
        <w:pStyle w:val="TextBody"/>
        <w:bidi w:val="0"/>
        <w:spacing w:lineRule="auto" w:line="288" w:before="0" w:after="120"/>
        <w:ind w:left="0" w:right="0" w:firstLine="720"/>
        <w:jc w:val="both"/>
        <w:rPr/>
      </w:pPr>
      <w:r>
        <w:rPr>
          <w:rFonts w:ascii="Arial;sans-serif" w:hAnsi="Arial;sans-serif"/>
          <w:b/>
          <w:i/>
          <w:color w:val="000000"/>
          <w:sz w:val="18"/>
        </w:rPr>
        <w:t>Interest Expense:</w:t>
      </w:r>
      <w:r>
        <w:rPr>
          <w:color w:val="000000"/>
        </w:rPr>
        <w:t xml:space="preserve"> </w:t>
      </w:r>
      <w:r>
        <w:rPr>
          <w:rFonts w:ascii="Arial;sans-serif" w:hAnsi="Arial;sans-serif"/>
          <w:b w:val="false"/>
          <w:color w:val="000000"/>
          <w:sz w:val="18"/>
        </w:rPr>
        <w:t xml:space="preserve">Interest expense increased $29.9 million, or 25.7%, to $146.3 million for the year ended December 31, 2022 from $116.4 million for the year ended December 31, 2021. The increase was driven by increased average borrowings to support our capital allocation priorities, as well as an increase in interest rates during 2022. </w:t>
      </w:r>
    </w:p>
    <w:p>
      <w:pPr>
        <w:pStyle w:val="TextBody"/>
        <w:bidi w:val="0"/>
        <w:spacing w:lineRule="auto" w:line="288" w:before="0" w:after="60"/>
        <w:ind w:left="0" w:right="0" w:firstLine="720"/>
        <w:jc w:val="both"/>
        <w:rPr/>
      </w:pPr>
      <w:r>
        <w:rPr>
          <w:rFonts w:ascii="Arial;sans-serif" w:hAnsi="Arial;sans-serif"/>
          <w:b/>
          <w:i/>
          <w:color w:val="000000"/>
          <w:sz w:val="18"/>
        </w:rPr>
        <w:t xml:space="preserve">Fair Value Loss on Common Stock Warrant Liabilities: </w:t>
      </w:r>
      <w:r>
        <w:rPr>
          <w:rFonts w:ascii="Arial;sans-serif" w:hAnsi="Arial;sans-serif"/>
          <w:b w:val="false"/>
          <w:color w:val="000000"/>
          <w:sz w:val="18"/>
        </w:rPr>
        <w:t xml:space="preserve">For the year ended year ended December 31, 2021, the fair value loss on common stock warrant liabilities of $26.6 million was primarily attributable to the change in estimated fair value of common stock warrant liabilities. </w:t>
      </w:r>
    </w:p>
    <w:p>
      <w:pPr>
        <w:pStyle w:val="TextBody"/>
        <w:bidi w:val="0"/>
        <w:spacing w:lineRule="auto" w:line="288" w:before="0" w:after="60"/>
        <w:ind w:left="0" w:right="0" w:firstLine="720"/>
        <w:jc w:val="both"/>
        <w:rPr/>
      </w:pPr>
      <w:r>
        <w:rPr>
          <w:rFonts w:ascii="Arial;sans-serif" w:hAnsi="Arial;sans-serif"/>
          <w:b/>
          <w:i/>
          <w:color w:val="000000"/>
          <w:sz w:val="18"/>
        </w:rPr>
        <w:t xml:space="preserve">Loss on Extinguishment of Debt: </w:t>
      </w:r>
      <w:r>
        <w:rPr>
          <w:rFonts w:ascii="Arial;sans-serif" w:hAnsi="Arial;sans-serif"/>
          <w:b w:val="false"/>
          <w:color w:val="000000"/>
          <w:sz w:val="18"/>
        </w:rPr>
        <w:t>For the year ended year ended December 31, 2021,</w:t>
      </w:r>
      <w:r>
        <w:rPr>
          <w:color w:val="000000"/>
        </w:rPr>
        <w:t xml:space="preserve"> </w:t>
      </w:r>
      <w:r>
        <w:rPr>
          <w:rFonts w:ascii="Arial;sans-serif" w:hAnsi="Arial;sans-serif"/>
          <w:b w:val="false"/>
          <w:color w:val="000000"/>
          <w:sz w:val="18"/>
        </w:rPr>
        <w:t>we recorded a loss on extinguishment of debt of $6.0 million related to the redemption premium and write off of unamortized deferred financing costs associated with the redemption of $123.5 million of our 2025 Secured Notes.</w:t>
      </w:r>
    </w:p>
    <w:p>
      <w:pPr>
        <w:pStyle w:val="TextBody"/>
        <w:bidi w:val="0"/>
        <w:spacing w:lineRule="auto" w:line="288" w:before="0" w:after="60"/>
        <w:ind w:left="0" w:right="0" w:firstLine="720"/>
        <w:jc w:val="both"/>
        <w:rPr/>
      </w:pPr>
      <w:r>
        <w:rPr>
          <w:rFonts w:ascii="Arial;sans-serif" w:hAnsi="Arial;sans-serif"/>
          <w:b/>
          <w:i/>
          <w:color w:val="000000"/>
          <w:sz w:val="18"/>
        </w:rPr>
        <w:t>Income Tax Expense:</w:t>
      </w:r>
      <w:r>
        <w:rPr>
          <w:color w:val="000000"/>
        </w:rPr>
        <w:t xml:space="preserve"> </w:t>
      </w:r>
      <w:r>
        <w:rPr>
          <w:rFonts w:ascii="Arial;sans-serif" w:hAnsi="Arial;sans-serif"/>
          <w:b w:val="false"/>
          <w:color w:val="000000"/>
          <w:sz w:val="18"/>
        </w:rPr>
        <w:t xml:space="preserve">Income tax expense increased $52.3 million to $88.9 million for the year ended December 31, 2022 compared to a $36.5 million for the year ended December 31, 2021. The increase in income tax expense was a result of higher pre-tax income partially offset with a reduction of the valuation allowance for deferred tax assets.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000000"/>
          <w:sz w:val="26"/>
        </w:rPr>
      </w:pPr>
      <w:r>
        <w:rPr>
          <w:rFonts w:ascii="Arial;sans-serif" w:hAnsi="Arial;sans-serif"/>
          <w:b w:val="false"/>
          <w:color w:val="000000"/>
          <w:sz w:val="26"/>
        </w:rPr>
        <w:t>Business Segments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operates in two reportable segments as follows: Modular and Storage. Modular represents the activities of the North America modular business, excluding ground level offices, which were transferred to the Storage segment during the first quarter of 2023. Storage represents the activities of the North America portable storage and ground level office business. As part of the transfer of the ground level offices to Storage, we also adjusted the average modular space monthly rental rate in the Storage segment to only include VAPS specifically applicable to ground level offices, which has also been reflected in the total average modular space monthly rental rate.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following tables and discussion summarize our reportable segment financial information for the </w:t>
      </w:r>
      <w:r>
        <w:rPr>
          <w:rFonts w:ascii="Arial;sans-serif" w:hAnsi="Arial;sans-serif"/>
          <w:b w:val="false"/>
          <w:color w:val="000000"/>
          <w:sz w:val="18"/>
          <w:shd w:fill="FFFFFF" w:val="clear"/>
        </w:rPr>
        <w:t>years ended December 31, 2023, 2022 and 2021</w:t>
      </w:r>
      <w:r>
        <w:rPr>
          <w:rFonts w:ascii="Arial;sans-serif" w:hAnsi="Arial;sans-serif"/>
          <w:b w:val="false"/>
          <w:color w:val="000000"/>
          <w:sz w:val="18"/>
        </w:rPr>
        <w:t xml:space="preserve">.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Business Segment Results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Years Ended December 31, 2023, 2022 and 2021</w:t>
      </w:r>
    </w:p>
    <w:tbl>
      <w:tblPr>
        <w:tblW w:w="9183" w:type="dxa"/>
        <w:jc w:val="left"/>
        <w:tblInd w:w="0" w:type="dxa"/>
        <w:tblLayout w:type="fixed"/>
        <w:tblCellMar>
          <w:top w:w="28" w:type="dxa"/>
          <w:left w:w="28" w:type="dxa"/>
          <w:bottom w:w="28" w:type="dxa"/>
          <w:right w:w="28" w:type="dxa"/>
        </w:tblCellMar>
      </w:tblPr>
      <w:tblGrid>
        <w:gridCol w:w="1542"/>
        <w:gridCol w:w="1355"/>
        <w:gridCol w:w="1363"/>
        <w:gridCol w:w="211"/>
        <w:gridCol w:w="976"/>
        <w:gridCol w:w="271"/>
        <w:gridCol w:w="109"/>
        <w:gridCol w:w="109"/>
        <w:gridCol w:w="109"/>
        <w:gridCol w:w="211"/>
        <w:gridCol w:w="826"/>
        <w:gridCol w:w="271"/>
        <w:gridCol w:w="109"/>
        <w:gridCol w:w="109"/>
        <w:gridCol w:w="109"/>
        <w:gridCol w:w="211"/>
        <w:gridCol w:w="976"/>
        <w:gridCol w:w="316"/>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3"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 2023</w:t>
            </w:r>
          </w:p>
        </w:tc>
      </w:tr>
      <w:tr>
        <w:trPr/>
        <w:tc>
          <w:tcPr>
            <w:tcW w:w="4260" w:type="dxa"/>
            <w:gridSpan w:val="3"/>
            <w:tcBorders/>
            <w:shd w:fill="1D2758" w:val="clear"/>
            <w:tcMar>
              <w:top w:w="0" w:type="dxa"/>
              <w:left w:w="0" w:type="dxa"/>
              <w:bottom w:w="0" w:type="dxa"/>
              <w:right w:w="0" w:type="dxa"/>
            </w:tcMar>
            <w:vAlign w:val="center"/>
          </w:tcPr>
          <w:p>
            <w:pPr>
              <w:pStyle w:val="TableContents"/>
              <w:bidi w:val="0"/>
              <w:spacing w:lineRule="auto" w:line="240" w:before="0" w:after="100"/>
              <w:jc w:val="left"/>
              <w:rPr>
                <w:rFonts w:ascii="Arial;sans-serif" w:hAnsi="Arial;sans-serif"/>
                <w:b/>
                <w:i/>
                <w:color w:val="FFFFFF"/>
                <w:sz w:val="18"/>
              </w:rPr>
            </w:pPr>
            <w:r>
              <w:rPr>
                <w:rFonts w:ascii="Arial;sans-serif" w:hAnsi="Arial;sans-serif"/>
                <w:b/>
                <w:i/>
                <w:color w:val="FFFFFF"/>
                <w:sz w:val="18"/>
              </w:rPr>
              <w:t>(in thousands, except for units on rent and rates)</w:t>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Modular</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Storage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1,495,666 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869,101 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700,226 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633,644 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1,333,870 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598,354 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463,111 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1,061,465 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Capex for rental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units on rent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81,870 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100,822 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utilization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monthly rental rate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units on 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utilization rate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73.3 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monthly rental 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53"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48</w:t>
                      </w:r>
                    </w:p>
                  </w:txbxContent>
                </v:textbox>
                <w10:wrap type="none"/>
              </v:rect>
            </w:pict>
          </mc:Fallback>
        </mc:AlternateContent>
      </w:r>
    </w:p>
    <w:p>
      <w:pPr>
        <w:pStyle w:val="TextBody"/>
        <w:bidi w:val="0"/>
        <w:spacing w:before="0" w:after="60"/>
        <w:jc w:val="left"/>
        <w:rPr/>
      </w:pPr>
      <w:r>
        <w:rPr/>
      </w:r>
    </w:p>
    <w:tbl>
      <w:tblPr>
        <w:tblW w:w="9183" w:type="dxa"/>
        <w:jc w:val="left"/>
        <w:tblInd w:w="0" w:type="dxa"/>
        <w:tblLayout w:type="fixed"/>
        <w:tblCellMar>
          <w:top w:w="28" w:type="dxa"/>
          <w:left w:w="28" w:type="dxa"/>
          <w:bottom w:w="28" w:type="dxa"/>
          <w:right w:w="28" w:type="dxa"/>
        </w:tblCellMar>
      </w:tblPr>
      <w:tblGrid>
        <w:gridCol w:w="1542"/>
        <w:gridCol w:w="1355"/>
        <w:gridCol w:w="1363"/>
        <w:gridCol w:w="211"/>
        <w:gridCol w:w="976"/>
        <w:gridCol w:w="271"/>
        <w:gridCol w:w="109"/>
        <w:gridCol w:w="109"/>
        <w:gridCol w:w="109"/>
        <w:gridCol w:w="211"/>
        <w:gridCol w:w="826"/>
        <w:gridCol w:w="271"/>
        <w:gridCol w:w="109"/>
        <w:gridCol w:w="109"/>
        <w:gridCol w:w="109"/>
        <w:gridCol w:w="211"/>
        <w:gridCol w:w="976"/>
        <w:gridCol w:w="316"/>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3"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 2022</w:t>
            </w:r>
          </w:p>
        </w:tc>
      </w:tr>
      <w:tr>
        <w:trPr/>
        <w:tc>
          <w:tcPr>
            <w:tcW w:w="426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for units on rent and rates)</w:t>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Modular</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Storage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1,342,033 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800,590 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2,142,623 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583,837 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1,135,482 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508,343 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375,531 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883,874 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Capex for rental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397,376 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units on rent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82,517 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22,291 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104,808 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utilization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monthly rental rate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units on 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169,565 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utilization rate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monthly rental 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83" w:type="dxa"/>
        <w:jc w:val="left"/>
        <w:tblInd w:w="0" w:type="dxa"/>
        <w:tblLayout w:type="fixed"/>
        <w:tblCellMar>
          <w:top w:w="28" w:type="dxa"/>
          <w:left w:w="28" w:type="dxa"/>
          <w:bottom w:w="28" w:type="dxa"/>
          <w:right w:w="28" w:type="dxa"/>
        </w:tblCellMar>
      </w:tblPr>
      <w:tblGrid>
        <w:gridCol w:w="1542"/>
        <w:gridCol w:w="1355"/>
        <w:gridCol w:w="1363"/>
        <w:gridCol w:w="211"/>
        <w:gridCol w:w="976"/>
        <w:gridCol w:w="271"/>
        <w:gridCol w:w="109"/>
        <w:gridCol w:w="109"/>
        <w:gridCol w:w="109"/>
        <w:gridCol w:w="211"/>
        <w:gridCol w:w="826"/>
        <w:gridCol w:w="271"/>
        <w:gridCol w:w="109"/>
        <w:gridCol w:w="109"/>
        <w:gridCol w:w="109"/>
        <w:gridCol w:w="211"/>
        <w:gridCol w:w="976"/>
        <w:gridCol w:w="316"/>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3"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 2021</w:t>
            </w:r>
          </w:p>
        </w:tc>
      </w:tr>
      <w:tr>
        <w:trPr/>
        <w:tc>
          <w:tcPr>
            <w:tcW w:w="426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for units on rent and rates)</w:t>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Modular</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Storage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1,120,483 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552,497 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1,672,980 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373,047 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844,703 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404,577 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245,027 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649,604 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Capex for rental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232,921 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units on rent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79,879 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101,304 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utilization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modular space monthly rental rate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units on 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135,775 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utilization rate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portable storage monthly rental rate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color w:val="000000"/>
          <w:sz w:val="20"/>
          <w:shd w:fill="FFFFFF" w:val="clear"/>
        </w:rPr>
      </w:pPr>
      <w:r>
        <w:rPr>
          <w:rFonts w:ascii="Arial;sans-serif" w:hAnsi="Arial;sans-serif"/>
          <w:b/>
          <w:color w:val="000000"/>
          <w:sz w:val="20"/>
          <w:shd w:fill="FFFFFF" w:val="clear"/>
        </w:rPr>
        <w:t>Modular Segment</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 xml:space="preserve">Comparison of Years Ended December 31, 2023 and 2022 </w:t>
      </w:r>
    </w:p>
    <w:p>
      <w:pPr>
        <w:pStyle w:val="TextBody"/>
        <w:bidi w:val="0"/>
        <w:spacing w:lineRule="auto" w:line="288" w:before="0" w:after="120"/>
        <w:ind w:left="0" w:right="0" w:firstLine="720"/>
        <w:jc w:val="both"/>
        <w:rPr/>
      </w:pPr>
      <w:r>
        <w:rPr>
          <w:rFonts w:ascii="Arial;sans-serif" w:hAnsi="Arial;sans-serif"/>
          <w:b/>
          <w:i/>
          <w:color w:val="000000"/>
          <w:sz w:val="18"/>
        </w:rPr>
        <w:t>Revenue:</w:t>
      </w:r>
      <w:r>
        <w:rPr>
          <w:color w:val="000000"/>
        </w:rPr>
        <w:t xml:space="preserve"> </w:t>
      </w:r>
      <w:r>
        <w:rPr>
          <w:rFonts w:ascii="Arial;sans-serif" w:hAnsi="Arial;sans-serif"/>
          <w:b w:val="false"/>
          <w:color w:val="000000"/>
          <w:sz w:val="18"/>
        </w:rPr>
        <w:t xml:space="preserve">Total revenue increased $153.6 million, or 11.4%, to $1,495.7 million for the year ended December 31, 2023 from $1,342.0 million for the year ended December 31, 2022. The increase was primarily the result of increased leasing revenue of $145.4 million, or 14.6%, compared to 2022, and increased delivery and installation revenue of $10.7 million, or 3.9%, compared to 2022. Average modular space monthly rental rates increased 15.0% for the year ended December 31, 2023 to $1,111 driven primarily by increased pricing on new deliveries. Average modular space units on rent decreased by 647 units, or 0.8%. Average portable storage monthly rental rates increased 20.7% for the year ended December 31, 2023 to $251 driven by our price management tools, processes and early benefits from increased VAPS penetration opportunities on our basic VAPS offerings, which began in the second quarter of 2022. </w:t>
      </w:r>
    </w:p>
    <w:p>
      <w:pPr>
        <w:pStyle w:val="TextBody"/>
        <w:bidi w:val="0"/>
        <w:spacing w:lineRule="auto" w:line="288" w:before="0" w:after="60"/>
        <w:ind w:left="0" w:right="0" w:firstLine="720"/>
        <w:jc w:val="both"/>
        <w:rPr/>
      </w:pPr>
      <w:r>
        <w:rPr>
          <w:rFonts w:ascii="Arial;sans-serif" w:hAnsi="Arial;sans-serif"/>
          <w:b/>
          <w:i/>
          <w:color w:val="000000"/>
          <w:sz w:val="18"/>
        </w:rPr>
        <w:t>Gross Profit:</w:t>
      </w:r>
      <w:r>
        <w:rPr>
          <w:color w:val="000000"/>
        </w:rPr>
        <w:t xml:space="preserve"> </w:t>
      </w:r>
      <w:r>
        <w:rPr>
          <w:rFonts w:ascii="Arial;sans-serif" w:hAnsi="Arial;sans-serif"/>
          <w:b w:val="false"/>
          <w:color w:val="000000"/>
          <w:sz w:val="18"/>
        </w:rPr>
        <w:t xml:space="preserve">Gross profit increased $116.4 million, or 19.9%, to $700.2 million for the year ended December 31, 2023 from $583.8 million for the year ended December 31, 2022. The increase in gross profit was driven higher leasing gross profit, which increased $107.1 million, or 14.9%, driven by improved pricing and by a $7.8 million increase in delivery and installation gross profit. These increases in gross profit for the year ended December 31, 2023 were further complemented by a $4.7 million increase in new unit sales gross profit, offset by a $4.7 million decrease in rental unit sales gross profit. Cost of leasing and services increased by $41.2 million, or 8.3%, for the year ended December 31, 2023 versus the year ended December 31, 2022, driven by a $10.2 million, or 13.5%, increase in material costs, a $21.4 million, or 13.5%, increase in labor costs, a $4.6 million, or 2.2%, increase in subcontractor costs, and a $5.0 million, or 9.5%, increase in vehicle, equipment and other costs.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Cost of sales decreased by $2.3 million, or 5.6%, which is in line with decreased sales revenues of 3.1% for the year ended December 31, 2023. The year over year changes in each of these cost components was consistent with historical trends and management's expectations given the respective changes in sales volume.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increase in gross profit was also partially driven by a $1.6 million decrease in depreciation of rental equipment as a result of lower capital investments made in refurbishments of rental equipment over the past twelve months</w:t>
      </w:r>
    </w:p>
    <w:p>
      <w:pPr>
        <w:pStyle w:val="TextBody"/>
        <w:bidi w:val="0"/>
        <w:spacing w:lineRule="auto" w:line="288" w:before="0" w:after="120"/>
        <w:ind w:left="0" w:right="0" w:firstLine="720"/>
        <w:jc w:val="both"/>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 xml:space="preserve">Adjusted EBITDA increased $90.0 million, or 17.7%, to $598.4 million for the year ended December 31, 2023 from $508.3 million for the year ended December 31, 2022. The increase was driven by higher leasing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54"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49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gross profit discussed above. SG&amp;A, excluding discrete costs, increased $14.5 million, or 4.6%, for the year ended December 31, 2023 compared to the year ended December 31, 2022 driven primarily by a $2.4 million, or 5.7%, increase in service agreements and professional fees, a $5.2 million, or 9.8%, increase in real estate costs, a $4.2 million, or 32.7%, increase in travel costs, a $2.2 million, or 43.6%, increase in advertising costs, a $2.1 million, or 30.8%, increase in taxes and fees, a $7.1 million, or 81.9%, increase to the provision for credit losses, a $3.0 million, or 66.3%, increase in employee insurance costs, and a $5.9 million increase in salaries. These increases were partially offset by a $10.6 million decrease in variable compensation.</w:t>
      </w:r>
    </w:p>
    <w:p>
      <w:pPr>
        <w:pStyle w:val="TextBody"/>
        <w:bidi w:val="0"/>
        <w:spacing w:lineRule="auto" w:line="288" w:before="0" w:after="120"/>
        <w:ind w:left="0" w:right="0" w:firstLine="720"/>
        <w:jc w:val="both"/>
        <w:rPr/>
      </w:pPr>
      <w:r>
        <w:rPr>
          <w:rFonts w:ascii="Arial;sans-serif" w:hAnsi="Arial;sans-serif"/>
          <w:b/>
          <w:i/>
          <w:color w:val="000000"/>
          <w:sz w:val="18"/>
        </w:rPr>
        <w:t xml:space="preserve">Capex for rental equipment: </w:t>
      </w:r>
      <w:r>
        <w:rPr>
          <w:rFonts w:ascii="Arial;sans-serif" w:hAnsi="Arial;sans-serif"/>
          <w:b w:val="false"/>
          <w:color w:val="000000"/>
          <w:sz w:val="18"/>
        </w:rPr>
        <w:t>purchases of rental equipment decreased</w:t>
      </w:r>
      <w:r>
        <w:rPr>
          <w:color w:val="EE2724"/>
        </w:rPr>
        <w:t xml:space="preserve"> </w:t>
      </w:r>
      <w:r>
        <w:rPr>
          <w:rFonts w:ascii="Arial;sans-serif" w:hAnsi="Arial;sans-serif"/>
          <w:b w:val="false"/>
          <w:color w:val="000000"/>
          <w:sz w:val="18"/>
        </w:rPr>
        <w:t xml:space="preserve">$94.1 million, or 33.7%, to $185.0 million for the year ended December 31, 2023 from $279.1 million for the year ended December 31, 2022 driven by reduction in fleet purchases and successful efforts to reduce our refurbishment costs through better unit selection and work scope during 2023. </w:t>
      </w:r>
    </w:p>
    <w:p>
      <w:pPr>
        <w:pStyle w:val="TextBody"/>
        <w:bidi w:val="0"/>
        <w:spacing w:lineRule="auto" w:line="288" w:before="0" w:after="120"/>
        <w:jc w:val="left"/>
        <w:rPr>
          <w:rFonts w:ascii="Arial;sans-serif" w:hAnsi="Arial;sans-serif"/>
          <w:b/>
          <w:i/>
          <w:color w:val="1D2758"/>
          <w:sz w:val="18"/>
        </w:rPr>
      </w:pPr>
      <w:r>
        <w:rPr>
          <w:rFonts w:ascii="Arial;sans-serif" w:hAnsi="Arial;sans-serif"/>
          <w:b/>
          <w:i/>
          <w:color w:val="1D2758"/>
          <w:sz w:val="18"/>
        </w:rPr>
        <w:t xml:space="preserve">Comparison of Years Ended December 31, 2022 and 2021 </w:t>
      </w:r>
    </w:p>
    <w:p>
      <w:pPr>
        <w:pStyle w:val="TextBody"/>
        <w:bidi w:val="0"/>
        <w:spacing w:lineRule="auto" w:line="288" w:before="0" w:after="120"/>
        <w:ind w:left="0" w:right="0" w:firstLine="720"/>
        <w:jc w:val="both"/>
        <w:rPr/>
      </w:pPr>
      <w:r>
        <w:rPr>
          <w:rFonts w:ascii="Arial;sans-serif" w:hAnsi="Arial;sans-serif"/>
          <w:b/>
          <w:i/>
          <w:color w:val="000000"/>
          <w:sz w:val="18"/>
        </w:rPr>
        <w:t>Revenue:</w:t>
      </w:r>
      <w:r>
        <w:rPr>
          <w:color w:val="000000"/>
        </w:rPr>
        <w:t xml:space="preserve"> </w:t>
      </w:r>
      <w:r>
        <w:rPr>
          <w:rFonts w:ascii="Arial;sans-serif" w:hAnsi="Arial;sans-serif"/>
          <w:b w:val="false"/>
          <w:color w:val="000000"/>
          <w:sz w:val="18"/>
        </w:rPr>
        <w:t>Total revenue increased $221.6 million, or 19.8%, to $1,342.0 million for the year ended December 31, 2022 from $1,120.5 million for the year ended December 31, 2021. The increase was primarily driven by increased leasing revenue of $164.6 million, or 19.9%, compared to 2021, increased delivery and installation revenue of $58.9 million, or 27.6% compared to 2021 and partially offset by decreased sales revenue of $2.0 million, or 2.6%, compared to 2021. Average modular space monthly rental rates increased 17.8% for the year ended December 31, 2022 to $966 driven by continuation of the long-term price optimization and VAPS penetration opportunities across our portfolio. Improved pricing was aided by higher volumes as average modular space units on rent increased by 2,638 units, or 3.3%, year over year driven by acquisitions.</w:t>
      </w:r>
    </w:p>
    <w:p>
      <w:pPr>
        <w:pStyle w:val="TextBody"/>
        <w:bidi w:val="0"/>
        <w:spacing w:lineRule="auto" w:line="288" w:before="0" w:after="60"/>
        <w:ind w:left="0" w:right="0" w:firstLine="720"/>
        <w:jc w:val="both"/>
        <w:rPr/>
      </w:pPr>
      <w:r>
        <w:rPr>
          <w:rFonts w:ascii="Arial;sans-serif" w:hAnsi="Arial;sans-serif"/>
          <w:b/>
          <w:i/>
          <w:color w:val="000000"/>
          <w:sz w:val="18"/>
        </w:rPr>
        <w:t>Gross Profit:</w:t>
      </w:r>
      <w:r>
        <w:rPr>
          <w:color w:val="000000"/>
        </w:rPr>
        <w:t xml:space="preserve"> </w:t>
      </w:r>
      <w:r>
        <w:rPr>
          <w:rFonts w:ascii="Arial;sans-serif" w:hAnsi="Arial;sans-serif"/>
          <w:b w:val="false"/>
          <w:color w:val="000000"/>
          <w:sz w:val="18"/>
        </w:rPr>
        <w:t>Gross profit increased $112.2 million, or 23.8%, to $583.8 million for the year ended December 31, 2022 from $471.7 million for the year ended December 31, 2021. The increase in gross profit was driven by higher leasing gross profit, which increased $110.9 million or 18.2%, driven by improved volume, pricing and VAPS. The increase in gross profit from leasing for the year ended December 31, 2022 was further complemented by a $28.2 million increase in delivery and installation gross profit primarily driven by increased pricing, a $3.2 million increase in rental unit sales gross profit, and a $0.6 million increase in new unit sales gross profit. In addition, cost of leasing and services increased by $84.5 million, or 20.6%, for the year ended December 31, 2022 versus the year ended December 31, 2021, driven by a $3.5 million, or 1.7%, increase in subcontractor costs, and a $19.6 million, or 14.1%, increase in labor costs, partially offset by a $9.9 million, or 11.6%, decrease in material cost and a $1.3 million, or 2.4%, decrease in vehicle, equipment and other costs.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Cost of sales decreased by $5.8 million, or 12.2%, which is in line with the decreased sales revenues of 2.6% for year ended December 31, 2022. The year over year changes in each of these cost components was consistent with historical trends and management's expectations given the change in sales volume and inflationary pressures impacting our business.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increase in gross profit from leasing revenues was partially offset by a $30.6 million increase in depreciation of rental equipment primarily as a result of capital investments made over the past twelve months in our existing rental equipment for the year ended December 31, 2022.</w:t>
      </w:r>
    </w:p>
    <w:p>
      <w:pPr>
        <w:pStyle w:val="TextBody"/>
        <w:bidi w:val="0"/>
        <w:spacing w:lineRule="auto" w:line="288" w:before="0" w:after="120"/>
        <w:ind w:left="0" w:right="0" w:firstLine="720"/>
        <w:jc w:val="both"/>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Adjusted EBITDA increased $103.8 million, or 25.6%, to $508.3 million for the year ended December 31, 2022 from $404.6 million for the year ended December 31, 2021. The increase was driven by higher leasing gross profits discussed above, partially offset by increases in SG&amp;A, excluding discrete and other items of $48.8 million. SG&amp;A increases were primarily related to increases in salaries and variable compensation of $12.1 million and $8.9 million, respectively, service agreement and professional fee increases of $13.9 million, real estate and occupancy costs increases of $7.0 million, and increased travel expenses of $6.1 million.</w:t>
      </w:r>
    </w:p>
    <w:p>
      <w:pPr>
        <w:pStyle w:val="TextBody"/>
        <w:bidi w:val="0"/>
        <w:spacing w:lineRule="auto" w:line="288" w:before="0" w:after="0"/>
        <w:ind w:left="0" w:right="0" w:firstLine="720"/>
        <w:jc w:val="both"/>
        <w:rPr/>
      </w:pPr>
      <w:r>
        <w:rPr>
          <w:rFonts w:ascii="Arial;sans-serif" w:hAnsi="Arial;sans-serif"/>
          <w:b/>
          <w:i/>
          <w:color w:val="000000"/>
          <w:sz w:val="18"/>
        </w:rPr>
        <w:t>Capex for rental equipment:</w:t>
      </w:r>
      <w:r>
        <w:rPr>
          <w:color w:val="000000"/>
        </w:rPr>
        <w:t xml:space="preserve"> </w:t>
      </w:r>
      <w:r>
        <w:rPr>
          <w:rFonts w:ascii="Arial;sans-serif" w:hAnsi="Arial;sans-serif"/>
          <w:b w:val="false"/>
          <w:color w:val="000000"/>
          <w:sz w:val="18"/>
        </w:rPr>
        <w:t>Capex for rental equipment increased</w:t>
      </w:r>
      <w:r>
        <w:rPr>
          <w:color w:val="EE2724"/>
        </w:rPr>
        <w:t xml:space="preserve"> </w:t>
      </w:r>
      <w:r>
        <w:rPr>
          <w:rFonts w:ascii="Arial;sans-serif" w:hAnsi="Arial;sans-serif"/>
          <w:b w:val="false"/>
          <w:color w:val="000000"/>
          <w:sz w:val="18"/>
        </w:rPr>
        <w:t>$91.6 million, or 48.8%, to $279.1 million for the year ended December 31, 2022 from $187.5 million for the year ended December 31, 2021. The increase was mainly driven by increased spending on refurbishments and fleet and VAPS purchases.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Storage Segment</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 xml:space="preserve">Comparison of Years Ended December 31, 2023 and 2022 </w:t>
      </w:r>
    </w:p>
    <w:p>
      <w:pPr>
        <w:pStyle w:val="TextBody"/>
        <w:bidi w:val="0"/>
        <w:spacing w:lineRule="auto" w:line="288" w:before="0" w:after="60"/>
        <w:ind w:left="0" w:right="0" w:firstLine="720"/>
        <w:jc w:val="both"/>
        <w:rPr/>
      </w:pPr>
      <w:r>
        <w:rPr>
          <w:rFonts w:ascii="Arial;sans-serif" w:hAnsi="Arial;sans-serif"/>
          <w:b/>
          <w:i/>
          <w:color w:val="000000"/>
          <w:sz w:val="18"/>
        </w:rPr>
        <w:t>Revenue:</w:t>
      </w:r>
      <w:r>
        <w:rPr>
          <w:color w:val="000000"/>
        </w:rPr>
        <w:t xml:space="preserve"> </w:t>
      </w:r>
      <w:r>
        <w:rPr>
          <w:rFonts w:ascii="Arial;sans-serif" w:hAnsi="Arial;sans-serif"/>
          <w:b w:val="false"/>
          <w:color w:val="000000"/>
          <w:sz w:val="18"/>
        </w:rPr>
        <w:t>Total revenue increased $68.5 million, or 8.6%, to $869.1 million for the year ended December 31, 2023 from $800.6 million for the year ended December 31, 2022. The increase was primarily driven by increased leasing revenue of $66.9 million, or 10.6%, compared to 2022, partially offset by decreased delivery and installation revenue of $2.7 million, or 1.7%, compared to 2022. Average portable storage monthly rental rates increased 24.0% for the year ended December 31, 2023 to $238 as a result of our price management tools. Average portable storage units on rent decreased by 15,159 units, or 9.0%, year over year mainly driven by lower demand. Average modular space monthly rental rates increased 21.1% for the year ended December 31, 2023 to $826 driven by the continuation of our long-term price optimization initiative and VAPS penetration opportunities across our portfolio. Average modular space units on rent decreased by 3,339 units, or 15.0%.</w:t>
      </w:r>
    </w:p>
    <w:p>
      <w:pPr>
        <w:pStyle w:val="TextBody"/>
        <w:bidi w:val="0"/>
        <w:spacing w:lineRule="auto" w:line="288" w:before="0" w:after="60"/>
        <w:ind w:left="0" w:right="0" w:firstLine="720"/>
        <w:jc w:val="both"/>
        <w:rPr/>
      </w:pPr>
      <w:r>
        <w:rPr>
          <w:rFonts w:ascii="Arial;sans-serif" w:hAnsi="Arial;sans-serif"/>
          <w:b/>
          <w:i/>
          <w:color w:val="000000"/>
          <w:sz w:val="18"/>
        </w:rPr>
        <w:t>Gross Profit:</w:t>
      </w:r>
      <w:r>
        <w:rPr>
          <w:color w:val="000000"/>
        </w:rPr>
        <w:t xml:space="preserve"> </w:t>
      </w:r>
      <w:r>
        <w:rPr>
          <w:rFonts w:ascii="Arial;sans-serif" w:hAnsi="Arial;sans-serif"/>
          <w:b w:val="false"/>
          <w:color w:val="000000"/>
          <w:sz w:val="18"/>
        </w:rPr>
        <w:t xml:space="preserve">Gross profit increased $82.0 million, or 14.9%, to $633.6 million for the year ended December 31, 2023 from $551.6 million for the year ended December 31, 2022. The increase in gross profit was driven by an $83.5 million increase in leasing gross profit and an increase of $5.7 million in delivery and installation gross profit. The increase in gross profit from leasing and delivery and installation revenues was partially offset by a $10.6 million increase in depreciation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55"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rental equipment primarily as a result of capital investments made over the past twelve months of additional rental equipment for the year ended December 31, 2023.</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Cost of leasing and services decreased by $25.1 million, or 12.3%, for the year ended December 31, 2023 as compared to the year ended December 31, 2022, driven by a $7.0 million, or 27.7%, decrease in material costs, a $20.4 million, or 32.9%, decrease in subcontractor costs, partially offset by a $2.6 million, or 3.4%, increase in labor costs. Cost of sales increased by $1.0 million, or 11.0%, as sales revenues increased $4.3 million, or 29.0%, driving improved sales gross profit margins for the year ended December 31, 2023. The year over year changes in each of these cost components was consistent with historical trends and management's expectations given the respective changes in sales volume and inflationary pressures impacting our business.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These increases were partially offset by increased depreciation of $10.6 million, or 30.0%, as a result of capital investments made over the past twelve months in rental equipment including acquired fleet.</w:t>
      </w:r>
    </w:p>
    <w:p>
      <w:pPr>
        <w:pStyle w:val="TextBody"/>
        <w:bidi w:val="0"/>
        <w:spacing w:lineRule="auto" w:line="288" w:before="0" w:after="120"/>
        <w:ind w:left="0" w:right="0" w:firstLine="720"/>
        <w:jc w:val="both"/>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Adjusted EBITDA increased $87.6 million, or 23.3%, to $463.1 million for the year ended December 31, 2023 from $375.5 million for the year ended December 31, 2022. The increase was driven by higher leasing gross profits discussed above, partially offset by an increase in SG&amp;A costs, excluding discrete and other items of $15.3 million. The SG&amp;A increase was driven by an increase of $5.8 million in real estate and occupancy costs, an increase of $3.9 million in salaries and wages, and an increase of $1.5 million in service agreements and professional fees.</w:t>
      </w:r>
    </w:p>
    <w:p>
      <w:pPr>
        <w:pStyle w:val="TextBody"/>
        <w:bidi w:val="0"/>
        <w:spacing w:lineRule="auto" w:line="288" w:before="0" w:after="120"/>
        <w:ind w:left="0" w:right="0" w:firstLine="720"/>
        <w:jc w:val="both"/>
        <w:rPr/>
      </w:pPr>
      <w:r>
        <w:rPr>
          <w:rFonts w:ascii="Arial;sans-serif" w:hAnsi="Arial;sans-serif"/>
          <w:b/>
          <w:i/>
          <w:color w:val="000000"/>
          <w:sz w:val="18"/>
        </w:rPr>
        <w:t>Capex for rental equipment:</w:t>
      </w:r>
      <w:r>
        <w:rPr>
          <w:color w:val="000000"/>
        </w:rPr>
        <w:t xml:space="preserve"> </w:t>
      </w:r>
      <w:r>
        <w:rPr>
          <w:rFonts w:ascii="Arial;sans-serif" w:hAnsi="Arial;sans-serif"/>
          <w:b w:val="false"/>
          <w:color w:val="000000"/>
          <w:sz w:val="18"/>
        </w:rPr>
        <w:t>Capex for rental equipment decreased</w:t>
      </w:r>
      <w:r>
        <w:rPr>
          <w:color w:val="EE2724"/>
        </w:rPr>
        <w:t xml:space="preserve"> </w:t>
      </w:r>
      <w:r>
        <w:rPr>
          <w:rFonts w:ascii="Arial;sans-serif" w:hAnsi="Arial;sans-serif"/>
          <w:b w:val="false"/>
          <w:color w:val="000000"/>
          <w:sz w:val="18"/>
        </w:rPr>
        <w:t>$76.7 million, or 64.8%, to $41.6 million for the year ended December 31, 2023 from $118.3 million for the year ended December 31, 2022 driven by a reduction in container purchases during the year given lower utilization and demand.</w:t>
      </w:r>
    </w:p>
    <w:p>
      <w:pPr>
        <w:pStyle w:val="TextBody"/>
        <w:bidi w:val="0"/>
        <w:spacing w:lineRule="auto" w:line="288" w:before="0" w:after="120"/>
        <w:jc w:val="both"/>
        <w:rPr>
          <w:rFonts w:ascii="Arial;sans-serif" w:hAnsi="Arial;sans-serif"/>
          <w:b/>
          <w:i/>
          <w:color w:val="1D2758"/>
          <w:sz w:val="18"/>
        </w:rPr>
      </w:pPr>
      <w:r>
        <w:rPr>
          <w:rFonts w:ascii="Arial;sans-serif" w:hAnsi="Arial;sans-serif"/>
          <w:b/>
          <w:i/>
          <w:color w:val="1D2758"/>
          <w:sz w:val="18"/>
        </w:rPr>
        <w:t xml:space="preserve">Comparison of Years Ended December 31, 2022 and 2021 </w:t>
      </w:r>
    </w:p>
    <w:p>
      <w:pPr>
        <w:pStyle w:val="TextBody"/>
        <w:bidi w:val="0"/>
        <w:spacing w:lineRule="auto" w:line="288" w:before="0" w:after="120"/>
        <w:ind w:left="0" w:right="0" w:firstLine="720"/>
        <w:jc w:val="both"/>
        <w:rPr/>
      </w:pPr>
      <w:r>
        <w:rPr>
          <w:rFonts w:ascii="Arial;sans-serif" w:hAnsi="Arial;sans-serif"/>
          <w:b/>
          <w:i/>
          <w:color w:val="000000"/>
          <w:sz w:val="18"/>
        </w:rPr>
        <w:t xml:space="preserve">Revenue: </w:t>
      </w:r>
      <w:r>
        <w:rPr>
          <w:rFonts w:ascii="Arial;sans-serif" w:hAnsi="Arial;sans-serif"/>
          <w:b w:val="false"/>
          <w:color w:val="000000"/>
          <w:sz w:val="18"/>
        </w:rPr>
        <w:t xml:space="preserve">Total revenue increased $248.1 million, or 44.9%, to $800.6 million for the year ended December 31, 2022 from $552.5 million for the year ended December 31, 2021. The increase was primarily driven by increased leasing revenue of $204.6 million, or 48.2%, compared to </w:t>
      </w:r>
      <w:r>
        <w:rPr>
          <w:rFonts w:ascii="Arial;sans-serif" w:hAnsi="Arial;sans-serif"/>
          <w:b w:val="false"/>
          <w:color w:val="1D2758"/>
          <w:sz w:val="18"/>
        </w:rPr>
        <w:t>2021</w:t>
      </w:r>
      <w:r>
        <w:rPr>
          <w:rFonts w:ascii="Arial;sans-serif" w:hAnsi="Arial;sans-serif"/>
          <w:b w:val="false"/>
          <w:color w:val="000000"/>
          <w:sz w:val="18"/>
        </w:rPr>
        <w:t xml:space="preserve">, and increased delivery and installation revenue of $49.1 million, or 45.7%, compared to </w:t>
      </w:r>
      <w:r>
        <w:rPr>
          <w:rFonts w:ascii="Arial;sans-serif" w:hAnsi="Arial;sans-serif"/>
          <w:b w:val="false"/>
          <w:color w:val="1D2758"/>
          <w:sz w:val="18"/>
        </w:rPr>
        <w:t>2021</w:t>
      </w:r>
      <w:r>
        <w:rPr>
          <w:rFonts w:ascii="Arial;sans-serif" w:hAnsi="Arial;sans-serif"/>
          <w:b w:val="false"/>
          <w:color w:val="000000"/>
          <w:sz w:val="18"/>
        </w:rPr>
        <w:t>. Average portable storage monthly rental rates increased 23.1% for the year ended December 31, 2022 to $192 as a result of our price management tools and processes, further supported by high utilization, and by an acceleration earlier into the third quarter of our seasonal retail business. Average portable storage units on rent increased by 40,586 units, or 31.6%, year over year driven by increases in organic activity of approximately 15%, or 19,500 units on rent, including an acceleration earlier into the third quarter of our seasonal retail business. The remaining increase was driven by approximately 15,000 units on rent added in recent acquisitions and approximately 6,000 units of the increase was due to the transfer of approximately 12,000 portable storage units on rent from the Modular segment, which occurred in the third quarter of 2021. Average modular space monthly rental rates increased 21.6% for the year ended December 31, 2022 to $682 driven by the continuation of our long-term price optimization initiative and VAPS penetration opportunities across our portfolio. Average modular space units on rent increased by 866 units, or 4.0%, year over year, of which approximately 1,100 was acquisition driven.</w:t>
      </w:r>
    </w:p>
    <w:p>
      <w:pPr>
        <w:pStyle w:val="TextBody"/>
        <w:bidi w:val="0"/>
        <w:spacing w:lineRule="auto" w:line="288" w:before="0" w:after="60"/>
        <w:ind w:left="0" w:right="0" w:firstLine="720"/>
        <w:jc w:val="both"/>
        <w:rPr/>
      </w:pPr>
      <w:r>
        <w:rPr>
          <w:rFonts w:ascii="Arial;sans-serif" w:hAnsi="Arial;sans-serif"/>
          <w:b/>
          <w:i/>
          <w:color w:val="000000"/>
          <w:sz w:val="18"/>
        </w:rPr>
        <w:t xml:space="preserve">Gross Profit: </w:t>
      </w:r>
      <w:r>
        <w:rPr>
          <w:rFonts w:ascii="Arial;sans-serif" w:hAnsi="Arial;sans-serif"/>
          <w:b w:val="false"/>
          <w:color w:val="000000"/>
          <w:sz w:val="18"/>
        </w:rPr>
        <w:t xml:space="preserve">Gross profit increased $178.6 million, or 47.9%, to $551.6 million for the year ended December 31, 2022 from $373.0 million for the year ended December 31, 2021. The increase in gross profit was driven by a $164.0 million increase in leasing gross profit driven by improved volume, pricing and VAPS. The increase in gross profit from leasing for the year ended December 31, 2022 was further complemented by an increase of $24.8 million in delivery and installation gross profit primarily driven by increased pricing, and a $0.1 million increase in new unit sales gross profit. The increase in gross profit from leasing for the year ended December 31, 2022 was partially offset by a $3.0 million decrease in rental unit sales gross profit. In addition, cost of leasing and services increased by $64.9 million, or 46.4%, for the year ended December 31, 2022 versus the year ended December 31, 2021, driven by a $21.9 million, or 54.7%, increase in subcontractor costs, a $9.7 million, or 61.4%, increase in material costs, a $19.8 million, or 35.8%, increase in labor costs, and a $12.3 million, or 41.3%, increase in vehicle, equipment and other costs.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Cost of sales decreased by $2.7 million, or 22.5%, which is in line with the decreased sales revenues of 27.3% for year ended December 31, 2022.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increase in gross profit from leasing and delivery and installation revenues was partially offset by a $7.3 million increase in depreciation of rental equipment primarily as a result of capital investments made over the past twelve months of additional rental equipment for the year ended December 31, 2022.</w:t>
      </w:r>
    </w:p>
    <w:p>
      <w:pPr>
        <w:pStyle w:val="TextBody"/>
        <w:bidi w:val="0"/>
        <w:spacing w:lineRule="auto" w:line="288" w:before="0" w:after="120"/>
        <w:ind w:left="0" w:right="0" w:firstLine="720"/>
        <w:jc w:val="both"/>
        <w:rPr/>
      </w:pPr>
      <w:r>
        <w:rPr>
          <w:rFonts w:ascii="Arial;sans-serif" w:hAnsi="Arial;sans-serif"/>
          <w:b/>
          <w:i/>
          <w:color w:val="000000"/>
          <w:sz w:val="18"/>
        </w:rPr>
        <w:t xml:space="preserve">Adjusted EBITDA: </w:t>
      </w:r>
      <w:r>
        <w:rPr>
          <w:rFonts w:ascii="Arial;sans-serif" w:hAnsi="Arial;sans-serif"/>
          <w:b w:val="false"/>
          <w:color w:val="000000"/>
          <w:sz w:val="18"/>
        </w:rPr>
        <w:t>Adjusted EBITDA increased $130.5 million, or 53.3%, to $375.5 million for the year ended December 31, 2022 from $245.0 million for the year ended December 31, 2021. The increase was driven by higher leasing gross profits discussed above, partially offset by increases in SG&amp;A, excluding discrete and other items of $55.4 million. SG&amp;A increases were primarily related to increases in salaries and variable compensation of $20.1 million and $14.7 million, respectively, service agreement and professional fee increases of $9.9 million, real estate and occupancy costs increases of $1.9 million, and increased travel expenses of $2.6 million.</w:t>
      </w:r>
    </w:p>
    <w:p>
      <w:pPr>
        <w:pStyle w:val="TextBody"/>
        <w:bidi w:val="0"/>
        <w:spacing w:lineRule="auto" w:line="288" w:before="0" w:after="60"/>
        <w:ind w:left="0" w:right="0" w:firstLine="720"/>
        <w:jc w:val="both"/>
        <w:rPr/>
      </w:pPr>
      <w:r>
        <w:rPr>
          <w:rFonts w:ascii="Arial;sans-serif" w:hAnsi="Arial;sans-serif"/>
          <w:b/>
          <w:i/>
          <w:color w:val="000000"/>
          <w:sz w:val="18"/>
        </w:rPr>
        <w:t xml:space="preserve">Capex for rental equipment: </w:t>
      </w:r>
      <w:r>
        <w:rPr>
          <w:rFonts w:ascii="Arial;sans-serif" w:hAnsi="Arial;sans-serif"/>
          <w:b w:val="false"/>
          <w:color w:val="000000"/>
          <w:sz w:val="18"/>
        </w:rPr>
        <w:t xml:space="preserve">Capex for rental equipment increased $72.9 million, or 160.4%, to $118.3 million for the year ended December 31, 2022 from $45.4 million for the year ended December 31, 2021 driven by a significant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56"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in container purchases during the year given high utilization and strong demand, as well as due to expansion of our VAPS offering in Storage.</w:t>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Reconciliation of Non-GAAP Financial Measures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addition to using GAAP financial measurements, we use certain non-GAAP financial measures to evaluate our operating results. As such, we include in this Annual Report on Form 10-K reconciliations to their most directly comparable GAAP financial measures. Set forth below are definitions and reconciliations to the nearest comparable GAAP measure of certain non-GAAP financial measures used in this Annual Report on Form 10-K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Adjusted EBITDA</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Goodwill and other impairment charges related to non-cash costs associated with impairment charges to goodwill, other intangibles, rental fleet and property, plant and equipment.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Restructuring costs, lease impairment expense, and other related charges associated with restructuring plans designed to streamline operations and reduce costs including employee and lease termination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Transaction costs including legal and professional fees and other transaction specific related costs.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Costs to integrate acquired companies, including outside professional fees, non-capitalized costs associated with system integrations, non-lease branch and fleet relocation expenses, employee training costs, and other costs required to realize cost or revenue synergies.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Non-cash charges for stock compensation plans.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 xml:space="preserve">Gains and losses resulting from changes in fair value and extinguishment of common stock warrant liabilities.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Other expense, including consulting expenses related to certain one-time projects, financing costs not classified as interest expense, and gains and losses on disposals of property, plant, and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Chief Operating Decision Maker ("CODM") evaluates business segment performance utilizing Adjusted EBITDA as shown in the reconciliation of the Company’s consolidated income from continuing operations to Adjusted EBITDA below. Management believes that evaluating segment performance excluding such items is meaningful because it provides insight with respect to the intrinsic and ongoing operating results of the Company and captures the business performance of the segments, inclusive of indirect costs.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Adjusted EBITDA has limitations as an analytical tool, and you should not consider the measure in isolation or as a substitute for net income (loss), cash flow from operations or other methods of analyzing WillScot Mobile Mini’s results as reported under US GAAP. Some of these limitations are:</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changes in, or cash requirements for our working capital needs;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our interest expense, or the cash requirements necessary to service interest or principal payments, on our indebtedness;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our tax expense or the cash requirements to pay our taxes;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historical cash expenditures or future requirements for capital expenditures or contractual commitments;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Adjusted EBITDA does not reflect the impact on earnings or changes resulting from matters that we consider not to be indicative of our future operations;</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although depreciation and amortization are non-cash charges, the assets being depreciated and amortized will often have to be replaced in the future and Adjusted EBITDA does not reflect any cash requirements for such replacements;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other companies in our industry may calculate Adjusted EBITDA differently, limiting its usefulness as a comparative measure.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Because of these limitations, Adjusted EBITDA should not be considered as discretionary cash available to reinvest in the growth of our business or as a measure of cash that will be available to meet our obligations.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57"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unaudited reconciliations of Income from continuing operations to Adjusted EBITDA:</w:t>
      </w:r>
    </w:p>
    <w:tbl>
      <w:tblPr>
        <w:tblW w:w="10205" w:type="dxa"/>
        <w:jc w:val="left"/>
        <w:tblInd w:w="0" w:type="dxa"/>
        <w:tblLayout w:type="fixed"/>
        <w:tblCellMar>
          <w:top w:w="28" w:type="dxa"/>
          <w:left w:w="28" w:type="dxa"/>
          <w:bottom w:w="28" w:type="dxa"/>
          <w:right w:w="28" w:type="dxa"/>
        </w:tblCellMar>
      </w:tblPr>
      <w:tblGrid>
        <w:gridCol w:w="2153"/>
        <w:gridCol w:w="1879"/>
        <w:gridCol w:w="1885"/>
        <w:gridCol w:w="211"/>
        <w:gridCol w:w="976"/>
        <w:gridCol w:w="109"/>
        <w:gridCol w:w="109"/>
        <w:gridCol w:w="109"/>
        <w:gridCol w:w="109"/>
        <w:gridCol w:w="211"/>
        <w:gridCol w:w="826"/>
        <w:gridCol w:w="109"/>
        <w:gridCol w:w="109"/>
        <w:gridCol w:w="109"/>
        <w:gridCol w:w="109"/>
        <w:gridCol w:w="211"/>
        <w:gridCol w:w="826"/>
        <w:gridCol w:w="155"/>
      </w:tblGrid>
      <w:tr>
        <w:trPr/>
        <w:tc>
          <w:tcPr>
            <w:tcW w:w="215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1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591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276,341 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114,895 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continuing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468,419 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151,423 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116,358 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loss on common stock warrant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319,099 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280,567 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costs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28,410 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4,966 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649,604 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discontinued operations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90,789 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and discontinued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740,393 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both"/>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unaudited reconciliations of Income from discontinued operations to Adjusted EBITDA:</w:t>
      </w:r>
    </w:p>
    <w:tbl>
      <w:tblPr>
        <w:tblW w:w="10002" w:type="dxa"/>
        <w:jc w:val="left"/>
        <w:tblInd w:w="0" w:type="dxa"/>
        <w:tblLayout w:type="fixed"/>
        <w:tblCellMar>
          <w:top w:w="28" w:type="dxa"/>
          <w:left w:w="28" w:type="dxa"/>
          <w:bottom w:w="28" w:type="dxa"/>
          <w:right w:w="28" w:type="dxa"/>
        </w:tblCellMar>
      </w:tblPr>
      <w:tblGrid>
        <w:gridCol w:w="2202"/>
        <w:gridCol w:w="1935"/>
        <w:gridCol w:w="1938"/>
        <w:gridCol w:w="211"/>
        <w:gridCol w:w="826"/>
        <w:gridCol w:w="109"/>
        <w:gridCol w:w="109"/>
        <w:gridCol w:w="109"/>
        <w:gridCol w:w="109"/>
        <w:gridCol w:w="211"/>
        <w:gridCol w:w="721"/>
        <w:gridCol w:w="109"/>
        <w:gridCol w:w="109"/>
        <w:gridCol w:w="109"/>
        <w:gridCol w:w="109"/>
        <w:gridCol w:w="211"/>
        <w:gridCol w:w="721"/>
        <w:gridCol w:w="154"/>
      </w:tblGrid>
      <w:tr>
        <w:trPr/>
        <w:tc>
          <w:tcPr>
            <w:tcW w:w="2202"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607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45,249 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 and gain on sale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discontinued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58"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Adjusted EBITDA Margin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We define Adjusted EBITDA Margin as Adjusted EBITDA divided by revenue. Management believes that the presentation of Adjusted EBITDA Margin provides useful information to investors regarding the performance of our business.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unaudited reconciliations of Adjusted EBITDA Margin:</w:t>
      </w:r>
    </w:p>
    <w:tbl>
      <w:tblPr>
        <w:tblW w:w="9962" w:type="dxa"/>
        <w:jc w:val="left"/>
        <w:tblInd w:w="0" w:type="dxa"/>
        <w:tblLayout w:type="fixed"/>
        <w:tblCellMar>
          <w:top w:w="28" w:type="dxa"/>
          <w:left w:w="28" w:type="dxa"/>
          <w:bottom w:w="28" w:type="dxa"/>
          <w:right w:w="28" w:type="dxa"/>
        </w:tblCellMar>
      </w:tblPr>
      <w:tblGrid>
        <w:gridCol w:w="1773"/>
        <w:gridCol w:w="1556"/>
        <w:gridCol w:w="1560"/>
        <w:gridCol w:w="211"/>
        <w:gridCol w:w="976"/>
        <w:gridCol w:w="271"/>
        <w:gridCol w:w="109"/>
        <w:gridCol w:w="109"/>
        <w:gridCol w:w="109"/>
        <w:gridCol w:w="211"/>
        <w:gridCol w:w="976"/>
        <w:gridCol w:w="271"/>
        <w:gridCol w:w="109"/>
        <w:gridCol w:w="109"/>
        <w:gridCol w:w="109"/>
        <w:gridCol w:w="211"/>
        <w:gridCol w:w="976"/>
        <w:gridCol w:w="316"/>
      </w:tblGrid>
      <w:tr>
        <w:trPr/>
        <w:tc>
          <w:tcPr>
            <w:tcW w:w="1773"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488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 (A)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1,061,465 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883,874 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649,604 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2,142,623 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1,672,980 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Margin from Continuing Operations (A/B)</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341,844 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276,341 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114,895 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Margin (C/B)</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Adjusted Gross Profit and Adjusted Gross Profit Percentage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alternatives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regarding our results of operations and assists in analyzing the underlying performance of our business.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provides an unaudited reconciliation of gross profit to Adjusted Gross Profit and Adjusted Gross Profit Percentage:</w:t>
      </w:r>
    </w:p>
    <w:tbl>
      <w:tblPr>
        <w:tblW w:w="8358" w:type="dxa"/>
        <w:jc w:val="left"/>
        <w:tblInd w:w="0" w:type="dxa"/>
        <w:tblLayout w:type="fixed"/>
        <w:tblCellMar>
          <w:top w:w="28" w:type="dxa"/>
          <w:left w:w="28" w:type="dxa"/>
          <w:bottom w:w="28" w:type="dxa"/>
          <w:right w:w="28" w:type="dxa"/>
        </w:tblCellMar>
      </w:tblPr>
      <w:tblGrid>
        <w:gridCol w:w="1191"/>
        <w:gridCol w:w="1046"/>
        <w:gridCol w:w="1048"/>
        <w:gridCol w:w="211"/>
        <w:gridCol w:w="976"/>
        <w:gridCol w:w="271"/>
        <w:gridCol w:w="109"/>
        <w:gridCol w:w="109"/>
        <w:gridCol w:w="109"/>
        <w:gridCol w:w="211"/>
        <w:gridCol w:w="976"/>
        <w:gridCol w:w="271"/>
        <w:gridCol w:w="109"/>
        <w:gridCol w:w="109"/>
        <w:gridCol w:w="109"/>
        <w:gridCol w:w="211"/>
        <w:gridCol w:w="976"/>
        <w:gridCol w:w="316"/>
      </w:tblGrid>
      <w:tr>
        <w:trPr/>
        <w:tc>
          <w:tcPr>
            <w:tcW w:w="119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32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2,142,623 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1,672,980 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(B)</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1,333,870 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1,135,482 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844,703 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256,719 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218,790 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Gross Profit (C)</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1,599,603 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1,392,201 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1,063,493 </w:t>
            </w:r>
          </w:p>
        </w:tc>
        <w:tc>
          <w:tcPr>
            <w:tcW w:w="3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 Percentage (B/A)</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50.5 </w:t>
            </w:r>
          </w:p>
        </w:tc>
        <w:tc>
          <w:tcPr>
            <w:tcW w:w="31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Gross Profit Percentage (C/A)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Net CAPEX</w:t>
      </w:r>
    </w:p>
    <w:p>
      <w:pPr>
        <w:pStyle w:val="TextBody"/>
        <w:bidi w:val="0"/>
        <w:spacing w:lineRule="auto" w:line="288" w:before="0" w:after="60"/>
        <w:ind w:left="0" w:right="0" w:firstLine="720"/>
        <w:jc w:val="both"/>
        <w:rPr/>
      </w:pPr>
      <w:r>
        <w:rPr>
          <w:rFonts w:ascii="Arial;sans-serif" w:hAnsi="Arial;sans-serif"/>
          <w:b w:val="false"/>
          <w:color w:val="000000"/>
          <w:sz w:val="18"/>
        </w:rPr>
        <w:t>We define N</w:t>
      </w:r>
      <w:r>
        <w:rPr>
          <w:rFonts w:ascii="Arial;sans-serif" w:hAnsi="Arial;sans-serif"/>
          <w:b w:val="false"/>
          <w:color w:val="000000"/>
          <w:sz w:val="18"/>
          <w:shd w:fill="FFFFFF" w:val="clear"/>
        </w:rPr>
        <w:t xml:space="preserve">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As presented below, Net CAPEX includes amounts for the former Tank and Pump segment through September 30, 2022 and the UK Storage Solutions segment through January 31, 2023. </w:t>
      </w:r>
    </w:p>
    <w:p>
      <w:pPr>
        <w:pStyle w:val="TextBody"/>
        <w:bidi w:val="0"/>
        <w:spacing w:lineRule="auto" w:line="288" w:before="0" w:after="60"/>
        <w:ind w:left="0" w:right="0" w:firstLine="72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provides unaudited reconciliations of Net CAPEX:</w:t>
      </w:r>
    </w:p>
    <w:tbl>
      <w:tblPr>
        <w:tblW w:w="6416" w:type="dxa"/>
        <w:jc w:val="left"/>
        <w:tblInd w:w="0" w:type="dxa"/>
        <w:tblLayout w:type="fixed"/>
        <w:tblCellMar>
          <w:top w:w="28" w:type="dxa"/>
          <w:left w:w="28" w:type="dxa"/>
          <w:bottom w:w="28" w:type="dxa"/>
          <w:right w:w="28" w:type="dxa"/>
        </w:tblCellMar>
      </w:tblPr>
      <w:tblGrid>
        <w:gridCol w:w="826"/>
        <w:gridCol w:w="726"/>
        <w:gridCol w:w="727"/>
        <w:gridCol w:w="211"/>
        <w:gridCol w:w="826"/>
        <w:gridCol w:w="109"/>
        <w:gridCol w:w="109"/>
        <w:gridCol w:w="109"/>
        <w:gridCol w:w="109"/>
        <w:gridCol w:w="211"/>
        <w:gridCol w:w="826"/>
        <w:gridCol w:w="109"/>
        <w:gridCol w:w="109"/>
        <w:gridCol w:w="109"/>
        <w:gridCol w:w="109"/>
        <w:gridCol w:w="211"/>
        <w:gridCol w:w="82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22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 Expenditures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249,213 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486,802 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308,996 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Proceeds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CAPEX</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184,651 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414,324 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236,875 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59"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Free Cash Flow</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fund our capital allocation alternatives. As presented below, Free Cash Flow includes amounts for the former Tank and Pump segment through September 30, 2022 and the UK Storage Solutions segment through January 31, 2023.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provides a reconciliation of net cash provided by operating activities to Free Cash Flow:</w:t>
      </w:r>
    </w:p>
    <w:tbl>
      <w:tblPr>
        <w:tblW w:w="8817" w:type="dxa"/>
        <w:jc w:val="left"/>
        <w:tblInd w:w="0" w:type="dxa"/>
        <w:tblLayout w:type="fixed"/>
        <w:tblCellMar>
          <w:top w:w="28" w:type="dxa"/>
          <w:left w:w="28" w:type="dxa"/>
          <w:bottom w:w="28" w:type="dxa"/>
          <w:right w:w="28" w:type="dxa"/>
        </w:tblCellMar>
      </w:tblPr>
      <w:tblGrid>
        <w:gridCol w:w="1697"/>
        <w:gridCol w:w="1490"/>
        <w:gridCol w:w="1493"/>
        <w:gridCol w:w="211"/>
        <w:gridCol w:w="826"/>
        <w:gridCol w:w="109"/>
        <w:gridCol w:w="109"/>
        <w:gridCol w:w="109"/>
        <w:gridCol w:w="109"/>
        <w:gridCol w:w="211"/>
        <w:gridCol w:w="826"/>
        <w:gridCol w:w="109"/>
        <w:gridCol w:w="109"/>
        <w:gridCol w:w="109"/>
        <w:gridCol w:w="109"/>
        <w:gridCol w:w="211"/>
        <w:gridCol w:w="826"/>
        <w:gridCol w:w="154"/>
      </w:tblGrid>
      <w:tr>
        <w:trPr/>
        <w:tc>
          <w:tcPr>
            <w:tcW w:w="169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468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4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761,240 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744,658 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539,902 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55,210 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plant and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576,589 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303,027 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Liquidity and Capital Resources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WillScot Mobile Mini is a holding company that derives its operating cash flow from its operating subsidiaries. Our principal sources of liquidity include cash generated by operating activities from our subsidiaries, borrowings under our ABL Facility, and sales of equity and debt securities. We believe that our liquidity sources and operating cash flows are sufficient to address our operating, debt service and capital requirements over the next twelve months.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have consistently accessed the debt and equity capital markets both opportunistically and as necessary to support the growth of our business, desired leverage levels, and other capital allocation priorities. We believe we have ample liquidity in the ABL Facility and are generating substantial free cash flow, which together support both organic operations and other capital allocation priorities as they arise.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 </w:t>
      </w:r>
    </w:p>
    <w:p>
      <w:pPr>
        <w:pStyle w:val="TextBody"/>
        <w:bidi w:val="0"/>
        <w:spacing w:lineRule="auto" w:line="288" w:before="0" w:after="120"/>
        <w:ind w:left="0" w:right="0" w:firstLine="720"/>
        <w:jc w:val="both"/>
        <w:rPr/>
      </w:pPr>
      <w:r>
        <w:rPr>
          <w:rFonts w:ascii="Arial;sans-serif" w:hAnsi="Arial;sans-serif"/>
          <w:b w:val="false"/>
          <w:color w:val="000000"/>
          <w:sz w:val="18"/>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and together with the US Facility, the “ABL Facility”). Borrowing availability under the ABL Facility is equal to the lesser of $3.7 billion and the applicable borrowing bases. The borrowing bases are a function of, among other things, the value of the assets in the relevan</w:t>
      </w:r>
      <w:r>
        <w:rPr>
          <w:rFonts w:ascii="Arial;sans-serif" w:hAnsi="Arial;sans-serif"/>
          <w:b w:val="false"/>
          <w:color w:val="000000"/>
          <w:sz w:val="18"/>
          <w:shd w:fill="FFFFFF" w:val="clear"/>
        </w:rPr>
        <w:t xml:space="preserve">t collateral pool of which our rental equipment represents the largest component. At December 31, 2023, we had </w:t>
      </w:r>
      <w:r>
        <w:rPr>
          <w:rFonts w:ascii="Arial;sans-serif" w:hAnsi="Arial;sans-serif"/>
          <w:b w:val="false"/>
          <w:color w:val="000000"/>
          <w:sz w:val="18"/>
        </w:rPr>
        <w:t>$1.2 billion</w:t>
      </w:r>
      <w:r>
        <w:rPr>
          <w:color w:val="000000"/>
          <w:shd w:fill="FFFFFF" w:val="clear"/>
        </w:rPr>
        <w:t xml:space="preserve"> </w:t>
      </w:r>
      <w:r>
        <w:rPr>
          <w:rFonts w:ascii="Arial;sans-serif" w:hAnsi="Arial;sans-serif"/>
          <w:b w:val="false"/>
          <w:color w:val="000000"/>
          <w:sz w:val="18"/>
          <w:shd w:fill="FFFFFF" w:val="clear"/>
        </w:rPr>
        <w:t xml:space="preserve">of available borrowing capacity under the ABL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60"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Significant factors driving our liquidity include cash flows generated from operating activities and capital expenditures. Our ability to fund our capital needs will be affected by our ongoing ability to generate cash from operations and access to capital markets.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consolidated statements of cash flows include amounts for the former Tank and Pump segment through September 30, 2022 and the UK Storage Solutions segment through January 31, 2023. See Note </w:t>
      </w:r>
      <w:r>
        <w:rPr>
          <w:rFonts w:ascii="Arial;sans-serif" w:hAnsi="Arial;sans-serif"/>
          <w:b w:val="false"/>
          <w:color w:val="1D2758"/>
          <w:sz w:val="18"/>
        </w:rPr>
        <w:t>3</w:t>
      </w:r>
      <w:r>
        <w:rPr>
          <w:color w:val="000000"/>
        </w:rPr>
        <w:t xml:space="preserve"> </w:t>
      </w:r>
      <w:r>
        <w:rPr>
          <w:rFonts w:ascii="Arial;sans-serif" w:hAnsi="Arial;sans-serif"/>
          <w:b w:val="false"/>
          <w:color w:val="000000"/>
          <w:sz w:val="18"/>
        </w:rPr>
        <w:t>to the financial statements for disclosure of significant operating and investing items related to the former Tank and Pump segment and the UK Storage Solutions segment. The following summarizes our change in cash and cash equivalents for the periods presented:</w:t>
      </w:r>
    </w:p>
    <w:tbl>
      <w:tblPr>
        <w:tblW w:w="9341" w:type="dxa"/>
        <w:jc w:val="left"/>
        <w:tblInd w:w="0" w:type="dxa"/>
        <w:tblLayout w:type="fixed"/>
        <w:tblCellMar>
          <w:top w:w="28" w:type="dxa"/>
          <w:left w:w="28" w:type="dxa"/>
          <w:bottom w:w="28" w:type="dxa"/>
          <w:right w:w="28" w:type="dxa"/>
        </w:tblCellMar>
      </w:tblPr>
      <w:tblGrid>
        <w:gridCol w:w="1886"/>
        <w:gridCol w:w="1657"/>
        <w:gridCol w:w="1661"/>
        <w:gridCol w:w="211"/>
        <w:gridCol w:w="826"/>
        <w:gridCol w:w="109"/>
        <w:gridCol w:w="109"/>
        <w:gridCol w:w="109"/>
        <w:gridCol w:w="109"/>
        <w:gridCol w:w="211"/>
        <w:gridCol w:w="826"/>
        <w:gridCol w:w="109"/>
        <w:gridCol w:w="109"/>
        <w:gridCol w:w="109"/>
        <w:gridCol w:w="109"/>
        <w:gridCol w:w="211"/>
        <w:gridCol w:w="826"/>
        <w:gridCol w:w="154"/>
      </w:tblGrid>
      <w:tr>
        <w:trPr/>
        <w:tc>
          <w:tcPr>
            <w:tcW w:w="188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520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5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from operating activities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761,240 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744,658 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539,902 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from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from financing activities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(418,935)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(429,368)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(167,887)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(6,816)</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(12,238)</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both"/>
        <w:rPr>
          <w:rFonts w:ascii="Arial;sans-serif" w:hAnsi="Arial;sans-serif"/>
          <w:b/>
          <w:color w:val="000000"/>
          <w:sz w:val="20"/>
        </w:rPr>
      </w:pPr>
      <w:r>
        <w:rPr>
          <w:rFonts w:ascii="Arial;sans-serif" w:hAnsi="Arial;sans-serif"/>
          <w:b/>
          <w:color w:val="000000"/>
          <w:sz w:val="20"/>
        </w:rPr>
        <w:t xml:space="preserve">Comparison of the Years Ended December 31, 2023 and 2022 and December 31, 2022 and 2021 </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Cash Flows from operating activities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Cash provided by operating activities for the year ended December 31, 2023 was $761.2 million as compared to $744.7 million for the year ended December 31, 2022, an increase of $16.6 million, or 2%. The increase in cash provided by operating activities was driven by an increase of $54.5 million of net income, adjusted for non-cash items, and a decrease of $37.9 million in the net movements of the operating assets and liabilities.</w:t>
      </w:r>
    </w:p>
    <w:p>
      <w:pPr>
        <w:pStyle w:val="TextBody"/>
        <w:bidi w:val="0"/>
        <w:spacing w:lineRule="auto" w:line="288" w:before="0" w:after="120"/>
        <w:ind w:left="0" w:right="0" w:firstLine="720"/>
        <w:jc w:val="both"/>
        <w:rPr/>
      </w:pPr>
      <w:r>
        <w:rPr>
          <w:rFonts w:ascii="Arial;sans-serif" w:hAnsi="Arial;sans-serif"/>
          <w:b w:val="false"/>
          <w:color w:val="000000"/>
          <w:sz w:val="18"/>
        </w:rPr>
        <w:t>Cash provided by operating activities for the year ended December 31, 2022 was $744.7 million as compared to</w:t>
      </w:r>
      <w:r>
        <w:rPr>
          <w:color w:val="000000"/>
          <w:shd w:fill="FFFFFF" w:val="clear"/>
        </w:rPr>
        <w:t xml:space="preserve"> </w:t>
      </w:r>
      <w:r>
        <w:rPr>
          <w:rFonts w:ascii="Arial;sans-serif" w:hAnsi="Arial;sans-serif"/>
          <w:b w:val="false"/>
          <w:color w:val="000000"/>
          <w:sz w:val="18"/>
        </w:rPr>
        <w:t>$539.9 million</w:t>
      </w:r>
      <w:r>
        <w:rPr>
          <w:color w:val="000000"/>
          <w:shd w:fill="FFFFFF" w:val="clear"/>
        </w:rPr>
        <w:t xml:space="preserve"> </w:t>
      </w:r>
      <w:r>
        <w:rPr>
          <w:rFonts w:ascii="Arial;sans-serif" w:hAnsi="Arial;sans-serif"/>
          <w:b w:val="false"/>
          <w:color w:val="000000"/>
          <w:sz w:val="18"/>
          <w:shd w:fill="FFFFFF" w:val="clear"/>
        </w:rPr>
        <w:t xml:space="preserve">for the </w:t>
      </w:r>
      <w:r>
        <w:rPr>
          <w:rFonts w:ascii="Arial;sans-serif" w:hAnsi="Arial;sans-serif"/>
          <w:b w:val="false"/>
          <w:color w:val="000000"/>
          <w:sz w:val="18"/>
        </w:rPr>
        <w:t>year ended December 31, 2021</w:t>
      </w:r>
      <w:r>
        <w:rPr>
          <w:rFonts w:ascii="Arial;sans-serif" w:hAnsi="Arial;sans-serif"/>
          <w:b w:val="false"/>
          <w:color w:val="000000"/>
          <w:sz w:val="18"/>
          <w:shd w:fill="FFFFFF" w:val="clear"/>
        </w:rPr>
        <w:t xml:space="preserve">, an increase of </w:t>
      </w:r>
      <w:r>
        <w:rPr>
          <w:rFonts w:ascii="Arial;sans-serif" w:hAnsi="Arial;sans-serif"/>
          <w:b w:val="false"/>
          <w:color w:val="000000"/>
          <w:sz w:val="18"/>
        </w:rPr>
        <w:t>$204.8 million, or 38%</w:t>
      </w:r>
      <w:r>
        <w:rPr>
          <w:rFonts w:ascii="Arial;sans-serif" w:hAnsi="Arial;sans-serif"/>
          <w:b w:val="false"/>
          <w:color w:val="000000"/>
          <w:sz w:val="18"/>
          <w:shd w:fill="FFFFFF" w:val="clear"/>
        </w:rPr>
        <w:t xml:space="preserve">. </w:t>
      </w:r>
      <w:r>
        <w:rPr>
          <w:rFonts w:ascii="Arial;sans-serif" w:hAnsi="Arial;sans-serif"/>
          <w:b w:val="false"/>
          <w:color w:val="000000"/>
          <w:sz w:val="18"/>
        </w:rPr>
        <w:t>The increase in cash provided by operating activities was driven by an increase of $198.6 million of net income, adjusted for non-cash items, and an increase of $6.2 million in the net movements of the operating assets and liabilities.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Cash flows from investing activities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Cash used in investing activities for the year ended December 31, 2023 was $350.0 million as compared to $309.3 million for the year ended December 31, 2022, an increase of $40.7 million. The increase in cash used in investing activities was driven by a $341.0 million increase in cash used in acquisitions, net of cash acquired, a $19.4 million decrease in proceeds from the sale of rental equipment, and a $7.7 million increase in payments for the settlement of foreign currency forward contract. The increase was partially offset by a $216.2 million decrease in cash used for the purchase of rental equipment and refurbishments, a $78.4 million increase in proceeds from the sale of discontinued operations, a $21.4 million decrease in cash used for the purchase of property, plant, and equipment, and an $11.5 million increase in proceeds from sale of property, plant and equipment.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Cash used in investing activities for the year ended December 31, 2022 was $309.3 million as compared to $384.0 million for the year ended December 31, 2021, a decrease of $74.7 million. The decrease in cash used in investing activities was driven by the proceeds of $325.6 million from the sale of discontinued operations and a $15.5 million increase in proceeds from the sale of rental equipment. Proceeds from sale of rental equipment increased compared to the prior year due to higher sales demand. The decrease was partially offset by a $73.4 million increase in cash used in acquisitions, net of cash acquired, a $164.6 million increase in cash used for the purchase of rental equipment and refurbishments to support growing demand for new project deliveries across all segments, a $15.1 million decrease in proceeds from sale of property, plant and equipment and a $13.2 million increase in cash used for the purchase of property, plant, and equipment.</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Cash flows from financing activities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Cash used in financing activities for the year ended December 31, 2023 was $418.9 million as compared to $429.4 million for the year ended December 31, 2022, a decrease of $10.4 million. The decrease in cash used in financing activities was driven by a $60.5 million increase in net borrowings, a $25.6 million decrease in principal payments on finance lease obligations, and a $1.7 million decrease in payments of financing costs. The decrease was partially offset by an increase of $66.4 million in repurchases of common stock and a $10.7 million decrease in receipts from the issuance of common stock.</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Cash used in financing activities for the year ended December 31, 2022 was $429.4 million as compared to $167.9 million for the year ended December 31, 2021, an increase of $261.5 million. The increase in cash used in financing activities was driven by an increase of $388.2 million in repurchases of common stock and warrants as well as an increase of $76.6 million in repayment of borrowings, partially offset by a $235.6 million increase in receipts from borrowings.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61"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i/>
          <w:color w:val="000000"/>
          <w:sz w:val="18"/>
        </w:rPr>
      </w:pPr>
      <w:r>
        <w:rPr>
          <w:rFonts w:ascii="Arial;sans-serif" w:hAnsi="Arial;sans-serif"/>
          <w:b/>
          <w:i/>
          <w:color w:val="000000"/>
          <w:sz w:val="18"/>
        </w:rPr>
        <w:t>Material cash requirements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Company’s material cash requirements include the following contractual and other obligations:</w:t>
      </w:r>
    </w:p>
    <w:p>
      <w:pPr>
        <w:pStyle w:val="TextBody"/>
        <w:bidi w:val="0"/>
        <w:spacing w:lineRule="auto" w:line="288" w:before="0" w:after="60"/>
        <w:jc w:val="both"/>
        <w:rPr>
          <w:rFonts w:ascii="Arial;sans-serif" w:hAnsi="Arial;sans-serif"/>
          <w:b/>
          <w:color w:val="000000"/>
          <w:sz w:val="18"/>
        </w:rPr>
      </w:pPr>
      <w:r>
        <w:rPr>
          <w:rFonts w:ascii="Arial;sans-serif" w:hAnsi="Arial;sans-serif"/>
          <w:b/>
          <w:color w:val="000000"/>
          <w:sz w:val="18"/>
        </w:rPr>
        <w:t>Debt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has outstanding debt related to its ABL Facility, 2025 Secured Notes, 2028 Secured Notes, 2031 Secured Notes and finance leases, including interest, totaling $3.6 billion as of December 31, 2023, $18.8 million of which is obligated to be repaid within the next twelve months. Refer to Note 10 for further information regarding outstanding debt.</w:t>
      </w:r>
    </w:p>
    <w:p>
      <w:pPr>
        <w:pStyle w:val="TextBody"/>
        <w:bidi w:val="0"/>
        <w:spacing w:lineRule="auto" w:line="288" w:before="0" w:after="60"/>
        <w:jc w:val="both"/>
        <w:rPr>
          <w:rFonts w:ascii="Arial;sans-serif" w:hAnsi="Arial;sans-serif"/>
          <w:b/>
          <w:color w:val="000000"/>
          <w:sz w:val="18"/>
        </w:rPr>
      </w:pPr>
      <w:r>
        <w:rPr>
          <w:rFonts w:ascii="Arial;sans-serif" w:hAnsi="Arial;sans-serif"/>
          <w:b/>
          <w:color w:val="000000"/>
          <w:sz w:val="18"/>
        </w:rPr>
        <w:t>Operating leases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has commitments for future minimum rental payments relating to operating leases, which are primarily for real estate. As of December 31, 2023, the Company had lease obligations of $288.7 million, with $69.4 million payable within the next twelve months.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addition to the cash requirements described above, the Company has a Share Repurchase program authorized by the Board of Directors, which allows the Company to repurchase up to $1.0 billion of outstanding shares of Common Stock and equivalents. This program does not obligate the Company to repurchase any specific amount of shares.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believes its cash, cash flows generated from ongoing operations, and continued access to its revolving credit facility as well as access to debt markets are sufficient to satisfy its currently anticipated cash requirements over the next twelve months and thereafter for the foreseeable future.</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Critical Accounting Estimates</w:t>
      </w:r>
    </w:p>
    <w:p>
      <w:pPr>
        <w:pStyle w:val="TextBody"/>
        <w:bidi w:val="0"/>
        <w:spacing w:lineRule="auto" w:line="288" w:before="0" w:after="60"/>
        <w:ind w:left="0" w:right="0" w:firstLine="720"/>
        <w:jc w:val="both"/>
        <w:rPr/>
      </w:pPr>
      <w:r>
        <w:rPr>
          <w:rFonts w:ascii="Arial;sans-serif" w:hAnsi="Arial;sans-serif"/>
          <w:b w:val="false"/>
          <w:color w:val="000000"/>
          <w:sz w:val="18"/>
        </w:rPr>
        <w:t>The Company's discussion and analysis of its financial condition, results of operations, liquidity and capital resources is based on its consolidated financial statements, which have been prepared in accordance with GAAP. GAAP requires that management make estimates and judgments that affect the reported amount of assets, liabilities, revenue, expenses and the related disclosure of contingent assets and liabilities. The Company's management bases these estimates on historical experience and on various other assumptions that they consider reasonable under the circumstances and reevaluate their estimates and judgments as appropriate. The actual results exp</w:t>
      </w:r>
      <w:r>
        <w:rPr>
          <w:rFonts w:ascii="Arial;sans-serif" w:hAnsi="Arial;sans-serif"/>
          <w:b w:val="false"/>
          <w:color w:val="000000"/>
          <w:sz w:val="18"/>
          <w:shd w:fill="FFFFFF" w:val="clear"/>
        </w:rPr>
        <w:t>erienced by the Company may differ materially and adversely from its estimates. The Company believes that the following critical accounting estimates involve a higher degree of judgment or complexity in the preparation of financial statements:</w:t>
      </w:r>
    </w:p>
    <w:p>
      <w:pPr>
        <w:pStyle w:val="TextBody"/>
        <w:bidi w:val="0"/>
        <w:spacing w:lineRule="auto" w:line="288" w:before="0" w:after="120"/>
        <w:jc w:val="both"/>
        <w:rPr>
          <w:rFonts w:ascii="Arial;sans-serif" w:hAnsi="Arial;sans-serif"/>
          <w:b/>
          <w:color w:val="000000"/>
          <w:sz w:val="20"/>
          <w:shd w:fill="FFFFFF" w:val="clear"/>
        </w:rPr>
      </w:pPr>
      <w:r>
        <w:rPr>
          <w:rFonts w:ascii="Arial;sans-serif" w:hAnsi="Arial;sans-serif"/>
          <w:b/>
          <w:color w:val="000000"/>
          <w:sz w:val="20"/>
          <w:shd w:fill="FFFFFF" w:val="clear"/>
        </w:rPr>
        <w:t>Revenue Recognition</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 xml:space="preserve">Leasing Revenue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Company's lease arrangements can include multiple lease and non-lease components. Examples of lease components include, but are not limited to, the lease of modular space and portable storage units and VAPS. Examples of non-lease components include, but are not limited to, the delivery, installation,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 </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 xml:space="preserve">Services Revenue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generally has three non-lease service-related performance obligations in its contracts with customers:</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Delivery and installation of the modular or portable storage unit;</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Maintenance and other ad hoc services performed during the lease term; and</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Removal services that occur at the end of the lease term.</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Consideration is allocated to each of these performance obligations within the contract based upon their estimated relative standalone selling prices using an adjusted market approach.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Purchase Accounting</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accounts for acquisitions of businesses under the acquisition method. Under the acquisition method of accounting, the Company records assets acquired and liabilities assumed, including intangible assets, at their respective estimated fair values on the date of acquisition. Goodwill is measured as the excess of the fair value of the consideration transferred over the fair value of the identifiable net assets and is assigned to the Company's reporting units that are expected to benefit from the acquisition.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Judgment is exercised in the determination of the estimated fair value of intangible assets acquired and their estimated useful lives. The estimated fair value and useful lives of customer relationships is determined based on estimates and judgments regarding discounted future after-tax earnings and cash flows expected from customer relationships. The fair value of trade name intangible assets is determined utilizing the relief from royalty method. A royalty rate based on observed market royalties is applied to projected revenue supporting the trade name and discounted to present value.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Actual results may vary from these estimates which may result in adjustments to the fair value of assets acquired and liabilities assumed, including intangibles. The Company may record adjustments to the fair values and corresponding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62"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adjustment to goodwill during the measurement period, not to exceed one year from the date of acquisition if new information is obtained related to facts and circumstances that existed as of the acquisition date. After the measurement period, any subsequent adjustments are reflected in the consolidated statements of operations. Note 2 to the Consolidated Financial Statements included in Item 8 of Part II of this annual report provides further discussion regarding business combinations and any fair value adjustments to amounts previously reported.</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Evaluation of Goodwill Impairment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performs its assessment of goodwill utilizing either a qualitative or quantitative 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The Company estimates the fair value of a reporting unit by using a discounted cash flow model that calculates fair value as the present value of expected cash flows of the reporting units.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 and the estimate is inherently sensitive to any material changes to the inputs noted above; these changes could potentially impact the fair value of reporting units.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If the carrying amount of the reporting unit exceeds the calculated fair value of the reporting unit, an impairment charge would be recognized for the excess of carrying value over fair value, not to exceed the amount of goodwill allocated to that reporting unit.</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Company's 2023 impairment test indicated that the estimated fair values of the Company's reporting units were in excess of their carrying values. The Company believes that only significant changes in the cash flow assumptions would result in an impairment of goodwill.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Indefinite-lived Intangible Assets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Intangible assets that are acquired by the Company and determined to have an indefinite useful life are not amortized but are tested for impairment at least annually. The Company’s indefinite-lived intangible assets consist of the Williams Scotsman and Mobile Mini trade names.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 </w:t>
      </w:r>
      <w:r>
        <w:rPr>
          <w:rFonts w:ascii="Arial;sans-serif" w:hAnsi="Arial;sans-serif"/>
          <w:b w:val="false"/>
          <w:color w:val="000000"/>
          <w:sz w:val="18"/>
          <w:shd w:fill="FFFFFF" w:val="clear"/>
        </w:rPr>
        <w:t>The relief-from-royalty method requires the Company to make assumptions regarding future revenue and the appropriate selection of royalty and discount rates. Any material deviation in actual results could affect the calculated fair value of the intangible asset.</w:t>
      </w:r>
      <w:r>
        <w:rPr>
          <w:color w:val="000000"/>
        </w:rPr>
        <w:t xml:space="preserve">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Company's 2023 impairment test indicated that the estimated fair values of the Company's indefinite lived intangible assets were in excess of their carrying values. </w:t>
      </w:r>
    </w:p>
    <w:p>
      <w:pPr>
        <w:pStyle w:val="TextBody"/>
        <w:bidi w:val="0"/>
        <w:spacing w:lineRule="auto" w:line="268" w:before="0" w:after="120"/>
        <w:jc w:val="left"/>
        <w:rPr>
          <w:rFonts w:ascii="Arial;sans-serif" w:hAnsi="Arial;sans-serif"/>
          <w:b/>
          <w:color w:val="000000"/>
          <w:sz w:val="20"/>
        </w:rPr>
      </w:pPr>
      <w:r>
        <w:rPr>
          <w:rFonts w:ascii="Arial;sans-serif" w:hAnsi="Arial;sans-serif"/>
          <w:b/>
          <w:color w:val="000000"/>
          <w:sz w:val="20"/>
        </w:rPr>
        <w:t>Rental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Rental equipment is comprised of modular space and portable storage units held for rent or on rent to customers and value-added products and services (“VAPS”) which are in use or available to be used by customers. Rental equipment is measured at cost less accumulated depreciation and impairment losses. Cost includes expenditures that are directly attributable to the acquisition of the asset. Costs of improvements and conversions of rental equipment are capitalized when such costs extend the useful life of the equipment or increase the rental value of the unit. Costs incurred for equipment to meet a particular customer specification are either capitalized and depreciated over the lease term taking into consideration the residual value of the asset or charged to the customer at the beginning of the lease and expensed as incurred. Maintenance and repair costs are expensed as incurred.</w:t>
      </w:r>
    </w:p>
    <w:p>
      <w:pPr>
        <w:pStyle w:val="TextBody"/>
        <w:bidi w:val="0"/>
        <w:spacing w:lineRule="auto" w:line="288" w:before="0" w:after="60"/>
        <w:ind w:left="0" w:right="0" w:firstLine="720"/>
        <w:jc w:val="left"/>
        <w:rPr>
          <w:rFonts w:ascii="Arial;sans-serif" w:hAnsi="Arial;sans-serif"/>
          <w:b w:val="false"/>
          <w:color w:val="000000"/>
          <w:sz w:val="18"/>
        </w:rPr>
      </w:pPr>
      <w:r>
        <w:rPr>
          <w:rFonts w:ascii="Arial;sans-serif" w:hAnsi="Arial;sans-serif"/>
          <w:b w:val="false"/>
          <w:color w:val="000000"/>
          <w:sz w:val="18"/>
        </w:rPr>
        <w:t>Depreciation is computed using the straight-line method over estimated useful lives, as follows:</w:t>
      </w:r>
    </w:p>
    <w:tbl>
      <w:tblPr>
        <w:tblW w:w="7031" w:type="dxa"/>
        <w:jc w:val="left"/>
        <w:tblInd w:w="0" w:type="dxa"/>
        <w:tblLayout w:type="fixed"/>
        <w:tblCellMar>
          <w:top w:w="28" w:type="dxa"/>
          <w:left w:w="28" w:type="dxa"/>
          <w:bottom w:w="28" w:type="dxa"/>
          <w:right w:w="28" w:type="dxa"/>
        </w:tblCellMar>
      </w:tblPr>
      <w:tblGrid>
        <w:gridCol w:w="1254"/>
        <w:gridCol w:w="1101"/>
        <w:gridCol w:w="1110"/>
        <w:gridCol w:w="609"/>
        <w:gridCol w:w="609"/>
        <w:gridCol w:w="611"/>
        <w:gridCol w:w="109"/>
        <w:gridCol w:w="109"/>
        <w:gridCol w:w="109"/>
        <w:gridCol w:w="412"/>
        <w:gridCol w:w="412"/>
        <w:gridCol w:w="586"/>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Estimated Useful Life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Residual Value</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units</w:t>
            </w:r>
          </w:p>
        </w:tc>
        <w:tc>
          <w:tcPr>
            <w:tcW w:w="18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10 - 30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20 - 55%</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units</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7 - 30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20 - 55%</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VAPS and other related rental equipment</w:t>
            </w:r>
          </w:p>
        </w:tc>
        <w:tc>
          <w:tcPr>
            <w:tcW w:w="18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1 - 10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63"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Allowance for Credit Losses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is exposed to credit losses from trade receivables.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monitors ongoing credit exposure through an active review of customer balances against contract terms and due dates. The Company may employ collection agencies and legal counsel to pursue recovery of defaulted receivables. The allowance for credit losses reflects the estimate of the amount of receivables that the Company will be unable to collect based on historical write-off experience and, as applicable, current conditions and reasonable and supportable forecasts that affect collectability. Judgment and uncertainties are present in determining the allowance for credit losses due to the sensitivity of changing circumstances, including changes in the economy or in the particular circumstances of individual customers. Accordingly, the Company may be required to increase or decrease its allowances.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Changes in estimates are reflected in the period they become known. If circumstances were to change that required a change in estimates, such as a change in financial condition of customers or unanticipated changes in the economy, additional allowances may be required. There were no changes in the Company's estimates or underlying assumptions relating to the determination of the allowance for credit losses for the year ended December 31, 2023 that would have materially impacted the allowance for credit losses. Refer to Note 1 to the Consolidated Financial Statements included in Item 8 of Part II of this annual report for a summary of activity in the allowance for credit losses.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assesses the likelihood that each of the deferred tax assets will be realized. To the extent management believes realization of any deferred tax assets is not likely,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Deferred tax liabilities are recognized for the income taxes on the undistributed earnings of wholly-owned foreign subsidiaries unless such earnings are indefinitely reinvested, or will only be repatriated when possible to do so at minimal additional tax cost. Income tax relating to items recognized directly in equity is recognized in equity and not in profit (loss) for the year.</w:t>
      </w:r>
    </w:p>
    <w:p>
      <w:pPr>
        <w:pStyle w:val="TextBody"/>
        <w:bidi w:val="0"/>
        <w:spacing w:lineRule="auto" w:line="268" w:before="0" w:after="60"/>
        <w:ind w:left="0" w:right="0" w:firstLine="720"/>
        <w:jc w:val="both"/>
        <w:rPr/>
      </w:pPr>
      <w:r>
        <w:rPr>
          <w:rFonts w:ascii="Arial;sans-serif" w:hAnsi="Arial;sans-serif"/>
          <w:b w:val="false"/>
          <w:color w:val="000000"/>
          <w:sz w:val="18"/>
        </w:rPr>
        <w:t xml:space="preserve">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 </w:t>
      </w:r>
      <w:r>
        <w:rPr>
          <w:rFonts w:ascii="Arial;sans-serif" w:hAnsi="Arial;sans-serif"/>
          <w:b w:val="false"/>
          <w:color w:val="000000"/>
          <w:sz w:val="18"/>
          <w:shd w:fill="FFFFFF" w:val="clear"/>
        </w:rPr>
        <w:t xml:space="preserve">The evaluation of uncertain tax positions involves judgment in the application of GAAP and complex tax laws. </w:t>
      </w:r>
    </w:p>
    <w:p>
      <w:pPr>
        <w:pStyle w:val="TextBody"/>
        <w:bidi w:val="0"/>
        <w:spacing w:lineRule="auto" w:line="288" w:before="0" w:after="60"/>
        <w:ind w:left="0" w:right="0" w:firstLine="720"/>
        <w:jc w:val="left"/>
        <w:rPr>
          <w:rFonts w:ascii="Arial;sans-serif" w:hAnsi="Arial;sans-serif"/>
          <w:b w:val="false"/>
          <w:color w:val="000000"/>
          <w:sz w:val="18"/>
        </w:rPr>
      </w:pPr>
      <w:r>
        <w:rPr>
          <w:rFonts w:ascii="Arial;sans-serif" w:hAnsi="Arial;sans-serif"/>
          <w:b w:val="false"/>
          <w:color w:val="000000"/>
          <w:sz w:val="18"/>
        </w:rPr>
        <w:t>None of the critical accounting estimates or assumptions noted above have changed materially since the prior year.</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64"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59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hanging="2160"/>
        <w:jc w:val="left"/>
        <w:rPr>
          <w:rFonts w:ascii="Arial;sans-serif" w:hAnsi="Arial;sans-serif"/>
          <w:b/>
          <w:color w:val="000000"/>
          <w:sz w:val="44"/>
        </w:rPr>
      </w:pPr>
      <w:r>
        <w:rPr>
          <w:rFonts w:ascii="Arial;sans-serif" w:hAnsi="Arial;sans-serif"/>
          <w:b/>
          <w:color w:val="000000"/>
          <w:sz w:val="44"/>
        </w:rPr>
        <w:t>ITEM 7A.    Quantitative and Qualitative Disclosures about Market Risk</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We are exposed to certain market risks from changes in foreign currency exchange rates and interest rates. Changes in these factors cause fluctuations in our earnings and cash flows. We evaluate and manage exposure to these market risks as follows: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We are primarily exposed to interest rate risk through our ABL Facility, which bears interest at variable rates. We had $2.0 billion </w:t>
      </w:r>
      <w:r>
        <w:rPr>
          <w:rFonts w:ascii="Arial;sans-serif" w:hAnsi="Arial;sans-serif"/>
          <w:b w:val="false"/>
          <w:color w:val="000000"/>
          <w:sz w:val="18"/>
          <w:shd w:fill="FFFFFF" w:val="clear"/>
        </w:rPr>
        <w:t>in outstanding principal under the ABL Facility at December 31, 2023</w:t>
      </w:r>
      <w:r>
        <w:rPr>
          <w:rFonts w:ascii="Arial;sans-serif" w:hAnsi="Arial;sans-serif"/>
          <w:b w:val="false"/>
          <w:color w:val="000000"/>
          <w:sz w:val="18"/>
        </w:rPr>
        <w:t xml:space="preserve">. To manage interest rate risk, we maintain interest rate swap agreements that effectively convert $750.0 million in aggregate notional amount of variable-rate debt under our ABL Facility into fixed rate debt. The swap agreements provide for us to pay a weighted average effective fixed interest rate of 3.44% per annum and receive a variable interest rate equal to one-month term SOFR, with maturity dates of June 30, 2027. After taking into account the impact of the swaps, an increase in interest rates by 100 basis points on our ABL Facility would have increased annual interest expense by approximately $12.1 million based on outstanding borrowings at </w:t>
      </w:r>
      <w:r>
        <w:rPr>
          <w:rFonts w:ascii="Arial;sans-serif" w:hAnsi="Arial;sans-serif"/>
          <w:b w:val="false"/>
          <w:color w:val="000000"/>
          <w:sz w:val="18"/>
          <w:shd w:fill="FFFFFF" w:val="clear"/>
        </w:rPr>
        <w:t>December 31, 2023</w:t>
      </w:r>
      <w:r>
        <w:rPr>
          <w:rFonts w:ascii="Arial;sans-serif" w:hAnsi="Arial;sans-serif"/>
          <w:b w:val="false"/>
          <w:color w:val="000000"/>
          <w:sz w:val="18"/>
        </w:rPr>
        <w:t xml:space="preserve">.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we entered into two interest rate swap agreements with financial counterparties relating to $500.0 million in aggregate notional amount of variable-rate debt under our ABL Facility. Under the terms of the agreements, we receive a floating rate equal to one-month term SOFR and will make payments based on a weighted average fixed interest rate of 3.70% on the notional amount. The swap agreements were designated and qualified as hedges of our exposure to changes in interest payment cash flows created by fluctuations in variable interest rates on the ABL Facility. The swap agreements terminate on June 30, 2027.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Foreign Currency Risk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2023, we generated approximately 94% of our consolidated net revenues in the US, and the reporting currency for our consolidated financial statements is the US dollar. However, we are exposed to currency risk through our operations in Canada and Mexico.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consolidated statements of operations. To date, we have not entered into any hedging arrangements with respect to foreign currency risk.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Although demand from certain of our customers is seasonal, our operations as a whole are not impacted in any material respect by seasonality.</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Impact of Inflation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Similar to many other organizations, we face inflationary pressures across most of our input costs such as building materials, labor, transportation and fuel. Inflation has contributed to increased capital costs for both new units and refurbishment of our existing units. However, given our scale and our strong rate performance, we believe we have been able to navigate the inflationary environment well and have consistently driven margin improvements during this period of rising costs. Therefore, we do not believe that inflation has had a material effect on our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65"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00"/>
        <w:jc w:val="left"/>
        <w:rPr>
          <w:rFonts w:ascii="Arial;sans-serif" w:hAnsi="Arial;sans-serif"/>
          <w:b/>
          <w:color w:val="000000"/>
          <w:sz w:val="44"/>
        </w:rPr>
      </w:pPr>
      <w:r>
        <w:rPr>
          <w:rFonts w:ascii="Arial;sans-serif" w:hAnsi="Arial;sans-serif"/>
          <w:b/>
          <w:color w:val="000000"/>
          <w:sz w:val="44"/>
        </w:rPr>
        <w:t xml:space="preserve">Item 8.    Financial Statements and Supplementary </w:t>
      </w:r>
    </w:p>
    <w:p>
      <w:pPr>
        <w:pStyle w:val="TextBody"/>
        <w:bidi w:val="0"/>
        <w:spacing w:lineRule="auto" w:line="288" w:before="0" w:after="100"/>
        <w:ind w:left="0" w:right="0" w:firstLine="720"/>
        <w:jc w:val="left"/>
        <w:rPr>
          <w:rFonts w:ascii="Arial;sans-serif" w:hAnsi="Arial;sans-serif"/>
          <w:b/>
          <w:color w:val="000000"/>
          <w:sz w:val="44"/>
        </w:rPr>
      </w:pPr>
      <w:r>
        <w:rPr>
          <w:rFonts w:ascii="Arial;sans-serif" w:hAnsi="Arial;sans-serif"/>
          <w:b/>
          <w:color w:val="000000"/>
          <w:sz w:val="44"/>
        </w:rPr>
        <w:t>Data</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Report of Independent Registered Public Accounting Firm</w: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To the Shareholders and the Board of Directors of WillScot Mobile Mini Holdings Corp.</w:t>
      </w:r>
    </w:p>
    <w:p>
      <w:pPr>
        <w:pStyle w:val="TextBody"/>
        <w:bidi w:val="0"/>
        <w:spacing w:lineRule="auto" w:line="268" w:before="0" w:after="120"/>
        <w:jc w:val="both"/>
        <w:rPr>
          <w:rFonts w:ascii="Arial;sans-serif" w:hAnsi="Arial;sans-serif"/>
          <w:b/>
          <w:color w:val="000000"/>
          <w:sz w:val="18"/>
        </w:rPr>
      </w:pPr>
      <w:r>
        <w:rPr>
          <w:rFonts w:ascii="Arial;sans-serif" w:hAnsi="Arial;sans-serif"/>
          <w:b/>
          <w:color w:val="000000"/>
          <w:sz w:val="18"/>
        </w:rPr>
        <w:t>Opinion on the Financial Statements</w:t>
      </w:r>
    </w:p>
    <w:p>
      <w:pPr>
        <w:pStyle w:val="TextBody"/>
        <w:bidi w:val="0"/>
        <w:spacing w:lineRule="auto" w:line="288" w:before="0" w:after="120"/>
        <w:jc w:val="both"/>
        <w:rPr/>
      </w:pPr>
      <w:r>
        <w:rPr>
          <w:rFonts w:ascii="Arial;sans-serif" w:hAnsi="Arial;sans-serif"/>
          <w:b w:val="false"/>
          <w:color w:val="000000"/>
          <w:sz w:val="18"/>
        </w:rPr>
        <w:t>We have audited the accompanying consolidated balance sheets of WillScot Mobile Mini Holdings Corp. (the Company) as of December 31, 2023 and 2022, the related consolidated statements of operations, comprehensive income</w:t>
      </w:r>
      <w:r>
        <w:rPr>
          <w:rFonts w:ascii="Arial;sans-serif" w:hAnsi="Arial;sans-serif"/>
          <w:b/>
          <w:color w:val="000000"/>
          <w:sz w:val="18"/>
        </w:rPr>
        <w:t>,</w:t>
      </w:r>
      <w:r>
        <w:rPr>
          <w:color w:val="000000"/>
        </w:rPr>
        <w:t xml:space="preserve"> </w:t>
      </w:r>
      <w:r>
        <w:rPr>
          <w:rFonts w:ascii="Arial;sans-serif" w:hAnsi="Arial;sans-serif"/>
          <w:b w:val="false"/>
          <w:color w:val="000000"/>
          <w:sz w:val="18"/>
        </w:rPr>
        <w:t>changes in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20, 2024 expressed an unqualified opinion thereon.</w:t>
      </w:r>
    </w:p>
    <w:p>
      <w:pPr>
        <w:pStyle w:val="TextBody"/>
        <w:bidi w:val="0"/>
        <w:spacing w:lineRule="auto" w:line="268" w:before="0" w:after="120"/>
        <w:jc w:val="both"/>
        <w:rPr>
          <w:rFonts w:ascii="Arial;sans-serif" w:hAnsi="Arial;sans-serif"/>
          <w:b/>
          <w:color w:val="000000"/>
          <w:sz w:val="18"/>
        </w:rPr>
      </w:pPr>
      <w:r>
        <w:rPr>
          <w:rFonts w:ascii="Arial;sans-serif" w:hAnsi="Arial;sans-serif"/>
          <w:b/>
          <w:color w:val="000000"/>
          <w:sz w:val="18"/>
        </w:rPr>
        <w:t>Basis for Opinion</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68" w:before="0" w:after="120"/>
        <w:jc w:val="left"/>
        <w:rPr>
          <w:rFonts w:ascii="Arial;sans-serif" w:hAnsi="Arial;sans-serif"/>
          <w:b/>
          <w:color w:val="000000"/>
          <w:sz w:val="18"/>
        </w:rPr>
      </w:pPr>
      <w:r>
        <w:rPr>
          <w:rFonts w:ascii="Arial;sans-serif" w:hAnsi="Arial;sans-serif"/>
          <w:b/>
          <w:color w:val="000000"/>
          <w:sz w:val="18"/>
        </w:rPr>
        <w:t>Critical Audit Matter</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66"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61</w:t>
                      </w:r>
                    </w:p>
                  </w:txbxContent>
                </v:textbox>
                <w10:wrap type="none"/>
              </v:rect>
            </w:pict>
          </mc:Fallback>
        </mc:AlternateContent>
      </w:r>
    </w:p>
    <w:p>
      <w:pPr>
        <w:pStyle w:val="TextBody"/>
        <w:bidi w:val="0"/>
        <w:spacing w:before="0" w:after="60"/>
        <w:jc w:val="left"/>
        <w:rPr/>
      </w:pPr>
      <w:r>
        <w:rPr/>
      </w:r>
    </w:p>
    <w:tbl>
      <w:tblPr>
        <w:tblW w:w="10205" w:type="dxa"/>
        <w:jc w:val="left"/>
        <w:tblInd w:w="0" w:type="dxa"/>
        <w:tblLayout w:type="fixed"/>
        <w:tblCellMar>
          <w:top w:w="28" w:type="dxa"/>
          <w:left w:w="28" w:type="dxa"/>
          <w:bottom w:w="28" w:type="dxa"/>
          <w:right w:w="28" w:type="dxa"/>
        </w:tblCellMar>
      </w:tblPr>
      <w:tblGrid>
        <w:gridCol w:w="500"/>
        <w:gridCol w:w="440"/>
        <w:gridCol w:w="441"/>
        <w:gridCol w:w="109"/>
        <w:gridCol w:w="109"/>
        <w:gridCol w:w="109"/>
        <w:gridCol w:w="2723"/>
        <w:gridCol w:w="2386"/>
        <w:gridCol w:w="3388"/>
      </w:tblGrid>
      <w:tr>
        <w:trPr/>
        <w:tc>
          <w:tcPr>
            <w:tcW w:w="5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3"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3388"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Allowance for Credit Losses</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Description of the Matter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As described in Note 1 to the consolidated financial statements, the Company maintains an allowance for credit losses on trade receivables. At December 31, 2023 the allowance for credit losses was $81.7 million, or 15.3% of gross trade receivables. The allowance for credit losses is estimated based on historical write-off experience and, as applicable, current conditions and reasonable and supportable forecasts that affect collectability.</w:t>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Auditing the Company's estimation of the allowance for credit losses was judgmental due to the subjectivity in assessing the appropriateness of the assumptions made by management. The assumptions include an expectation that the Company’s collection of receivables will be consistent with historical write-off experience and the consideration of current or forecasted conditions that may affect the Company’s customers’ ability to pay outstanding trade receivables.</w:t>
            </w:r>
          </w:p>
          <w:p>
            <w:pPr>
              <w:pStyle w:val="TableContents"/>
              <w:bidi w:val="0"/>
              <w:spacing w:before="0" w:after="0"/>
              <w:jc w:val="both"/>
              <w:rPr/>
            </w:pPr>
            <w:r>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We obtained an understanding, evaluated the design, and tested the operating effectiveness of the Company's controls over its estimation of the allowance for credit losses, including internal controls over the Company’s process to develop the assumptions used to estimate credit losses. </w:t>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To test the allowance for credit losses, we performed audit procedures that included, among others, testing management's process for developing the allowance for credit losses, testing the completeness, accuracy, and relevance of the data used; and evaluating significant assumptions used by management, including assessing the Company’s expectation that the collection of receivables will be consistent with historical write-off experience. For example, we compared the days sales outstanding, customer concentration, and days past due as of December 31, 2023, to the Company’s historical experience to evaluate the relevancy of the historical data utilized to estimate the allowance for credit losses. We also performed sensitivity analyses of the significant assumptions to evaluate the change in the allowance that would result from changes in assumptions.</w:t>
            </w:r>
          </w:p>
          <w:p>
            <w:pPr>
              <w:pStyle w:val="TableContents"/>
              <w:bidi w:val="0"/>
              <w:spacing w:before="0" w:after="0"/>
              <w:jc w:val="both"/>
              <w:rPr/>
            </w:pPr>
            <w:r>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76" w:before="0" w:after="120"/>
        <w:jc w:val="both"/>
        <w:rPr>
          <w:rFonts w:ascii="Arial;sans-serif" w:hAnsi="Arial;sans-serif"/>
          <w:b w:val="false"/>
          <w:color w:val="333333"/>
          <w:sz w:val="18"/>
        </w:rPr>
      </w:pPr>
      <w:r>
        <w:rPr>
          <w:rFonts w:ascii="Arial;sans-serif" w:hAnsi="Arial;sans-serif"/>
          <w:b w:val="false"/>
          <w:color w:val="333333"/>
          <w:sz w:val="18"/>
        </w:rPr>
        <w:t>/s/ Ernst &amp; Young LLP</w:t>
      </w:r>
    </w:p>
    <w:p>
      <w:pPr>
        <w:pStyle w:val="TextBody"/>
        <w:bidi w:val="0"/>
        <w:spacing w:lineRule="auto" w:line="276" w:before="0" w:after="120"/>
        <w:jc w:val="both"/>
        <w:rPr>
          <w:rFonts w:ascii="Arial;sans-serif" w:hAnsi="Arial;sans-serif"/>
          <w:b w:val="false"/>
          <w:i/>
          <w:color w:val="333333"/>
          <w:sz w:val="18"/>
        </w:rPr>
      </w:pPr>
      <w:r>
        <w:rPr>
          <w:rFonts w:ascii="Arial;sans-serif" w:hAnsi="Arial;sans-serif"/>
          <w:b w:val="false"/>
          <w:i/>
          <w:color w:val="333333"/>
          <w:sz w:val="18"/>
        </w:rPr>
        <w:t>We have served as the Company’s auditor since 2017</w:t>
      </w:r>
    </w:p>
    <w:p>
      <w:pPr>
        <w:pStyle w:val="TextBody"/>
        <w:bidi w:val="0"/>
        <w:spacing w:lineRule="auto" w:line="256" w:before="0" w:after="120"/>
        <w:jc w:val="both"/>
        <w:rPr>
          <w:rFonts w:ascii="Arial;sans-serif" w:hAnsi="Arial;sans-serif"/>
          <w:b w:val="false"/>
          <w:color w:val="333333"/>
          <w:sz w:val="18"/>
        </w:rPr>
      </w:pPr>
      <w:r>
        <w:rPr>
          <w:rFonts w:ascii="Arial;sans-serif" w:hAnsi="Arial;sans-serif"/>
          <w:b w:val="false"/>
          <w:color w:val="333333"/>
          <w:sz w:val="18"/>
        </w:rPr>
        <w:t>Baltimore, Maryland</w:t>
      </w:r>
    </w:p>
    <w:p>
      <w:pPr>
        <w:pStyle w:val="TextBody"/>
        <w:bidi w:val="0"/>
        <w:spacing w:lineRule="auto" w:line="256" w:before="0" w:after="120"/>
        <w:jc w:val="both"/>
        <w:rPr>
          <w:rFonts w:ascii="Arial;sans-serif" w:hAnsi="Arial;sans-serif"/>
          <w:b w:val="false"/>
          <w:color w:val="000000"/>
          <w:sz w:val="18"/>
        </w:rPr>
      </w:pPr>
      <w:r>
        <w:rPr>
          <w:rFonts w:ascii="Arial;sans-serif" w:hAnsi="Arial;sans-serif"/>
          <w:b w:val="false"/>
          <w:color w:val="000000"/>
          <w:sz w:val="18"/>
        </w:rPr>
        <w:t>February 20, 2024</w:t>
      </w:r>
    </w:p>
    <w:p>
      <w:pPr>
        <w:pStyle w:val="TextBody"/>
        <w:bidi w:val="0"/>
        <w:spacing w:before="0" w:after="120"/>
        <w:jc w:val="both"/>
        <w:rPr/>
      </w:pPr>
      <w:r>
        <w:rPr/>
      </w:r>
    </w:p>
    <w:p>
      <w:pPr>
        <w:pStyle w:val="TextBody"/>
        <w:bidi w:val="0"/>
        <w:spacing w:before="0" w:after="120"/>
        <w:jc w:val="center"/>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67"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Consolidated Balance Sheets</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(in thousands, except share data)</w:t>
      </w:r>
    </w:p>
    <w:tbl>
      <w:tblPr>
        <w:tblW w:w="10205" w:type="dxa"/>
        <w:jc w:val="center"/>
        <w:tblInd w:w="0" w:type="dxa"/>
        <w:tblLayout w:type="fixed"/>
        <w:tblCellMar>
          <w:top w:w="28" w:type="dxa"/>
          <w:left w:w="28" w:type="dxa"/>
          <w:bottom w:w="28" w:type="dxa"/>
          <w:right w:w="28" w:type="dxa"/>
        </w:tblCellMar>
      </w:tblPr>
      <w:tblGrid>
        <w:gridCol w:w="2732"/>
        <w:gridCol w:w="2237"/>
        <w:gridCol w:w="2271"/>
        <w:gridCol w:w="211"/>
        <w:gridCol w:w="976"/>
        <w:gridCol w:w="109"/>
        <w:gridCol w:w="109"/>
        <w:gridCol w:w="109"/>
        <w:gridCol w:w="109"/>
        <w:gridCol w:w="211"/>
        <w:gridCol w:w="976"/>
        <w:gridCol w:w="155"/>
      </w:tblGrid>
      <w:tr>
        <w:trPr/>
        <w:tc>
          <w:tcPr>
            <w:tcW w:w="2732"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w:t>
            </w:r>
          </w:p>
        </w:tc>
      </w:tr>
      <w:tr>
        <w:trPr/>
        <w:tc>
          <w:tcPr>
            <w:tcW w:w="724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Trade receivables, net of allowance for credit losses at December 31, 2023 and December 31, 2022 of $81,656 and $57,048, respectively</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451,130 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409,766 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31,635 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 –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569,096 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521,041 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3,077,287 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340,887 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304,659 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1,176,635 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1,011,429 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419,125 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6,683 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 –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assets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5,568,819 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5,306,610 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5,827,651 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equity</w:t>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129,621 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109,542 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employee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203,793 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held for sale –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562,020 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561,942 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3,538,516 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3,063,042 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401,453 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169,618 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18,537 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held for sale –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liabilities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4,314,645 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3,700,409 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4,876,665 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4,262,351 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$0.0001 par, 1,000,000 shares authorized and zero shares issued and outstanding at December 31, 2023 and 2022</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$0.0001 par, 500,000,000 shares authorized and 189,967,135 and 207,951,682 shares issued and outstanding at December 31, 2023 and December 31, 2022,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paid-in-capital</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2,089,091 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2,886,951 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(775,093)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(1,251,550)</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1,565,300 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6,137,915 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5,827,651 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68"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Consolidated Statements of Operations</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(in thousands, except share and per share data)</w:t>
      </w:r>
    </w:p>
    <w:tbl>
      <w:tblPr>
        <w:tblW w:w="9221" w:type="dxa"/>
        <w:jc w:val="center"/>
        <w:tblInd w:w="0" w:type="dxa"/>
        <w:tblLayout w:type="fixed"/>
        <w:tblCellMar>
          <w:top w:w="28" w:type="dxa"/>
          <w:left w:w="28" w:type="dxa"/>
          <w:bottom w:w="28" w:type="dxa"/>
          <w:right w:w="28" w:type="dxa"/>
        </w:tblCellMar>
      </w:tblPr>
      <w:tblGrid>
        <w:gridCol w:w="1680"/>
        <w:gridCol w:w="1475"/>
        <w:gridCol w:w="1479"/>
        <w:gridCol w:w="211"/>
        <w:gridCol w:w="976"/>
        <w:gridCol w:w="109"/>
        <w:gridCol w:w="109"/>
        <w:gridCol w:w="109"/>
        <w:gridCol w:w="109"/>
        <w:gridCol w:w="211"/>
        <w:gridCol w:w="976"/>
        <w:gridCol w:w="109"/>
        <w:gridCol w:w="109"/>
        <w:gridCol w:w="109"/>
        <w:gridCol w:w="109"/>
        <w:gridCol w:w="211"/>
        <w:gridCol w:w="976"/>
        <w:gridCol w:w="154"/>
      </w:tblGrid>
      <w:tr>
        <w:trPr/>
        <w:tc>
          <w:tcPr>
            <w:tcW w:w="168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463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1,833,935 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1,621,690 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1,252,490 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52,368 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1,672,980 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282,576 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1,333,870 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1,135,482 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844,703 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596,090 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567,407 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480,407 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673,459 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511,482 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300,377 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loss on common stock warrant liabilities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468,419 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365,204 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151,423 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continuing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341,844 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276,341 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114,895 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Discontinued operations: </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63,199 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45,249 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160,144 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1" w:type="dxa"/>
            <w:gridSpan w:val="18"/>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from continuing operations attributable to WillScot Mobile Mini common shareholders:</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1"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from discontinued operations attributable to WillScot Mobile Mini common shareholders:</w:t>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Basic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1" w:type="dxa"/>
            <w:gridSpan w:val="18"/>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 attributable to WillScot Mobile Mini common shareholders:</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198,554,885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216,808,577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226,518,931</w:t>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201,849,836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221,399,162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232,793,902</w:t>
            </w:r>
          </w:p>
        </w:tc>
      </w:tr>
    </w:tbl>
    <w:p>
      <w:pPr>
        <w:pStyle w:val="TextBody"/>
        <w:bidi w:val="0"/>
        <w:spacing w:lineRule="auto" w:line="288" w:before="0" w:after="6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69"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Consolidated Statements of Comprehensive Income</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(in thousands)</w:t>
      </w:r>
    </w:p>
    <w:tbl>
      <w:tblPr>
        <w:tblW w:w="10205" w:type="dxa"/>
        <w:jc w:val="center"/>
        <w:tblInd w:w="0" w:type="dxa"/>
        <w:tblLayout w:type="fixed"/>
        <w:tblCellMar>
          <w:top w:w="28" w:type="dxa"/>
          <w:left w:w="28" w:type="dxa"/>
          <w:bottom w:w="28" w:type="dxa"/>
          <w:right w:w="28" w:type="dxa"/>
        </w:tblCellMar>
      </w:tblPr>
      <w:tblGrid>
        <w:gridCol w:w="2193"/>
        <w:gridCol w:w="1923"/>
        <w:gridCol w:w="1951"/>
        <w:gridCol w:w="211"/>
        <w:gridCol w:w="826"/>
        <w:gridCol w:w="109"/>
        <w:gridCol w:w="109"/>
        <w:gridCol w:w="109"/>
        <w:gridCol w:w="109"/>
        <w:gridCol w:w="211"/>
        <w:gridCol w:w="826"/>
        <w:gridCol w:w="109"/>
        <w:gridCol w:w="109"/>
        <w:gridCol w:w="109"/>
        <w:gridCol w:w="109"/>
        <w:gridCol w:w="211"/>
        <w:gridCol w:w="826"/>
        <w:gridCol w:w="155"/>
      </w:tblGrid>
      <w:tr>
        <w:trPr/>
        <w:tc>
          <w:tcPr>
            <w:tcW w:w="2193"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606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60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160,144 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translation adjustment, net of income tax benefit of $—, $— and $60 for the years ended December 31, 2023, 2022 and 2021, respectively</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(44,548)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gain on derivatives, net of income tax expense of $1,088, $1,171 and $2,661 for the years ended December 31, 2023, 2022 and 2021,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 (loss)</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(41,051)</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8,136 </w:t>
            </w:r>
          </w:p>
        </w:tc>
        <w:tc>
          <w:tcPr>
            <w:tcW w:w="15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168,280 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20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70"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Consolidated Statements of Changes in Equity</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(in thousands)</w:t>
      </w:r>
    </w:p>
    <w:tbl>
      <w:tblPr>
        <w:tblW w:w="10205" w:type="dxa"/>
        <w:jc w:val="center"/>
        <w:tblInd w:w="0" w:type="dxa"/>
        <w:tblLayout w:type="fixed"/>
        <w:tblCellMar>
          <w:top w:w="28" w:type="dxa"/>
          <w:left w:w="28" w:type="dxa"/>
          <w:bottom w:w="28" w:type="dxa"/>
          <w:right w:w="28" w:type="dxa"/>
        </w:tblCellMar>
      </w:tblPr>
      <w:tblGrid>
        <w:gridCol w:w="1037"/>
        <w:gridCol w:w="607"/>
        <w:gridCol w:w="608"/>
        <w:gridCol w:w="413"/>
        <w:gridCol w:w="413"/>
        <w:gridCol w:w="241"/>
        <w:gridCol w:w="298"/>
        <w:gridCol w:w="392"/>
        <w:gridCol w:w="115"/>
        <w:gridCol w:w="232"/>
        <w:gridCol w:w="1073"/>
        <w:gridCol w:w="119"/>
        <w:gridCol w:w="352"/>
        <w:gridCol w:w="1234"/>
        <w:gridCol w:w="184"/>
        <w:gridCol w:w="221"/>
        <w:gridCol w:w="1049"/>
        <w:gridCol w:w="114"/>
        <w:gridCol w:w="234"/>
        <w:gridCol w:w="1088"/>
        <w:gridCol w:w="181"/>
      </w:tblGrid>
      <w:tr>
        <w:trPr/>
        <w:tc>
          <w:tcPr>
            <w:tcW w:w="103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25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Common Stock</w:t>
            </w:r>
          </w:p>
        </w:tc>
        <w:tc>
          <w:tcPr>
            <w:tcW w:w="142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Additional Paid-in Capital</w:t>
            </w:r>
          </w:p>
        </w:tc>
        <w:tc>
          <w:tcPr>
            <w:tcW w:w="1770"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Other Comprehensive Loss</w:t>
            </w:r>
          </w:p>
        </w:tc>
        <w:tc>
          <w:tcPr>
            <w:tcW w:w="138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Deficit</w:t>
            </w:r>
          </w:p>
        </w:tc>
        <w:tc>
          <w:tcPr>
            <w:tcW w:w="1503"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Shareholders' Equity</w:t>
            </w:r>
          </w:p>
        </w:tc>
      </w:tr>
      <w:tr>
        <w:trPr/>
        <w:tc>
          <w:tcPr>
            <w:tcW w:w="225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Shares</w:t>
            </w:r>
          </w:p>
        </w:tc>
        <w:tc>
          <w:tcPr>
            <w:tcW w:w="80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Amount</w:t>
            </w:r>
          </w:p>
        </w:tc>
        <w:tc>
          <w:tcPr>
            <w:tcW w:w="142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770"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38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1503"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r>
      <w:tr>
        <w:trPr/>
        <w:tc>
          <w:tcPr>
            <w:tcW w:w="22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2020</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229,038 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3,852,291 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(37,207)</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(1,751,234)</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2,063,873 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8,136 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8,136 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and issuance of Common Stock from vesting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options and warrants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(11,851)</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(340,375)</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(340,376)</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 and warrants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 and option exercises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(7,177)</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(7,177)</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2021</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223,940 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3,616,902 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(29,071)</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(1,591,090)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1,996,763 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DBDBDB"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339,540 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339,540 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(41,051)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DBDBDB"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Stock-based compensation and issuance of Common Stock from vesting</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29,613 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29,613 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Repurchase and cancellation of Common Stock and warrants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(756,906)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(756,908)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 and warrants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3,254 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11,230 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11,231 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 and option exercises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82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207,952 </w:t>
            </w:r>
          </w:p>
        </w:tc>
        <w:tc>
          <w:tcPr>
            <w:tcW w:w="24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2,886,951 </w:t>
            </w:r>
          </w:p>
        </w:tc>
        <w:tc>
          <w:tcPr>
            <w:tcW w:w="11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18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(1,251,550)</w:t>
            </w:r>
          </w:p>
        </w:tc>
        <w:tc>
          <w:tcPr>
            <w:tcW w:w="11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1,565,300 </w:t>
            </w:r>
          </w:p>
        </w:tc>
        <w:tc>
          <w:tcPr>
            <w:tcW w:w="18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17,354 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17,354 </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Stock-based compensation and issuance of Common Stock from vesting</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(18,534)</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(818,673)</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(818,674)</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from the exercise of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 of stock-based compensation and option exercises</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(14,171)</w:t>
            </w:r>
          </w:p>
        </w:tc>
        <w:tc>
          <w:tcPr>
            <w:tcW w:w="11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(14,171)</w:t>
            </w:r>
          </w:p>
        </w:tc>
        <w:tc>
          <w:tcPr>
            <w:tcW w:w="18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189,967 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2,089,091 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(52,768)</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(775,093)</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1,261,250 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20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71"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Consolidated Statements of Cash Flows</w:t>
      </w:r>
    </w:p>
    <w:p>
      <w:pPr>
        <w:pStyle w:val="TextBody"/>
        <w:bidi w:val="0"/>
        <w:spacing w:lineRule="auto" w:line="288" w:before="0" w:after="0"/>
        <w:jc w:val="center"/>
        <w:rPr>
          <w:rFonts w:ascii="Arial;sans-serif" w:hAnsi="Arial;sans-serif"/>
          <w:b w:val="false"/>
          <w:color w:val="1D2758"/>
          <w:sz w:val="26"/>
        </w:rPr>
      </w:pPr>
      <w:r>
        <w:rPr>
          <w:rFonts w:ascii="Arial;sans-serif" w:hAnsi="Arial;sans-serif"/>
          <w:b w:val="false"/>
          <w:color w:val="1D2758"/>
          <w:sz w:val="26"/>
        </w:rPr>
        <w:t>(in thousands)</w:t>
      </w:r>
    </w:p>
    <w:tbl>
      <w:tblPr>
        <w:tblW w:w="10205" w:type="dxa"/>
        <w:jc w:val="center"/>
        <w:tblInd w:w="0" w:type="dxa"/>
        <w:tblLayout w:type="fixed"/>
        <w:tblCellMar>
          <w:top w:w="28" w:type="dxa"/>
          <w:left w:w="28" w:type="dxa"/>
          <w:bottom w:w="28" w:type="dxa"/>
          <w:right w:w="28" w:type="dxa"/>
        </w:tblCellMar>
      </w:tblPr>
      <w:tblGrid>
        <w:gridCol w:w="2221"/>
        <w:gridCol w:w="1910"/>
        <w:gridCol w:w="1924"/>
        <w:gridCol w:w="212"/>
        <w:gridCol w:w="835"/>
        <w:gridCol w:w="109"/>
        <w:gridCol w:w="109"/>
        <w:gridCol w:w="109"/>
        <w:gridCol w:w="109"/>
        <w:gridCol w:w="211"/>
        <w:gridCol w:w="826"/>
        <w:gridCol w:w="109"/>
        <w:gridCol w:w="109"/>
        <w:gridCol w:w="109"/>
        <w:gridCol w:w="109"/>
        <w:gridCol w:w="211"/>
        <w:gridCol w:w="826"/>
        <w:gridCol w:w="157"/>
      </w:tblGrid>
      <w:tr>
        <w:trPr/>
        <w:tc>
          <w:tcPr>
            <w:tcW w:w="2221"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605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w:t>
            </w:r>
          </w:p>
        </w:tc>
        <w:tc>
          <w:tcPr>
            <w:tcW w:w="11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1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318,202 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38,191 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rental equipment and other property, plant and equipment</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(31,196)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(26,175)</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discounts and debt issuance costs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loss on common stock warrant liabilities</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26,597 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expense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settlement of foreign currency forward contract</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currency (gains) losses, net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net of effect of businesses acquired:</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receivables</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(76,357)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(94,463)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(105,053)</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and liabilities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accrued expenses</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27,525 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4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761,240 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744,658 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539,902 </w:t>
            </w:r>
          </w:p>
        </w:tc>
        <w:tc>
          <w:tcPr>
            <w:tcW w:w="157"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discontinued operations</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403,992 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Acquisitions, net of cash acquired </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55,210 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for settlement of foreign currency forward contract</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plant and equipment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property, plant and equipment</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(22,237)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(30,498)</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(309,333)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(384,047)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activities:</w:t>
            </w:r>
          </w:p>
        </w:tc>
        <w:tc>
          <w:tcPr>
            <w:tcW w:w="11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and cancellation of Common Stock and warrants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(363,586)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from issuance of Common Stock from the exercise of options</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paid on employee stock awards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Receipts from borrowings</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1,911,230 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964,308 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728,677 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 of borrowings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(512,181)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financing costs</w:t>
            </w:r>
          </w:p>
        </w:tc>
        <w:tc>
          <w:tcPr>
            <w:tcW w:w="104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72"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67</w:t>
                      </w:r>
                    </w:p>
                  </w:txbxContent>
                </v:textbox>
                <w10:wrap type="none"/>
              </v:rect>
            </w:pict>
          </mc:Fallback>
        </mc:AlternateContent>
      </w:r>
    </w:p>
    <w:p>
      <w:pPr>
        <w:pStyle w:val="TextBody"/>
        <w:bidi w:val="0"/>
        <w:spacing w:before="0" w:after="60"/>
        <w:jc w:val="left"/>
        <w:rPr/>
      </w:pPr>
      <w:r>
        <w:rPr/>
      </w:r>
    </w:p>
    <w:tbl>
      <w:tblPr>
        <w:tblW w:w="10205" w:type="dxa"/>
        <w:jc w:val="center"/>
        <w:tblInd w:w="0" w:type="dxa"/>
        <w:tblLayout w:type="fixed"/>
        <w:tblCellMar>
          <w:top w:w="28" w:type="dxa"/>
          <w:left w:w="28" w:type="dxa"/>
          <w:bottom w:w="28" w:type="dxa"/>
          <w:right w:w="28" w:type="dxa"/>
        </w:tblCellMar>
      </w:tblPr>
      <w:tblGrid>
        <w:gridCol w:w="2230"/>
        <w:gridCol w:w="1915"/>
        <w:gridCol w:w="1922"/>
        <w:gridCol w:w="211"/>
        <w:gridCol w:w="826"/>
        <w:gridCol w:w="109"/>
        <w:gridCol w:w="109"/>
        <w:gridCol w:w="109"/>
        <w:gridCol w:w="109"/>
        <w:gridCol w:w="211"/>
        <w:gridCol w:w="826"/>
        <w:gridCol w:w="109"/>
        <w:gridCol w:w="109"/>
        <w:gridCol w:w="109"/>
        <w:gridCol w:w="109"/>
        <w:gridCol w:w="211"/>
        <w:gridCol w:w="826"/>
        <w:gridCol w:w="155"/>
      </w:tblGrid>
      <w:tr>
        <w:trPr/>
        <w:tc>
          <w:tcPr>
            <w:tcW w:w="2230"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payments on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debt extinguishment premium costs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(3,705)</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(167,887)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Effect of exchange rate changes on cash and cash equivalents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change in cash and cash equivalents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the beginning of the period</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the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cash flow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paid, net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184,863 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130,463 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103,795 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accrued or payable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27,667 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cash and cash equivalents to the consolidated balance sheet:</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of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included in assets held for sale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6,306 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cash equivalents shown in the consolidated statement of cash flows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0" w:after="200"/>
        <w:jc w:val="center"/>
        <w:rPr>
          <w:rFonts w:ascii="Arial;sans-serif" w:hAnsi="Arial;sans-serif"/>
          <w:b w:val="false"/>
          <w:i/>
          <w:color w:val="000000"/>
          <w:sz w:val="14"/>
        </w:rPr>
      </w:pPr>
      <w:r>
        <w:rPr>
          <w:rFonts w:ascii="Arial;sans-serif" w:hAnsi="Arial;sans-serif"/>
          <w:b w:val="false"/>
          <w:i/>
          <w:color w:val="000000"/>
          <w:sz w:val="14"/>
        </w:rPr>
        <w:t>See the accompanying notes which are an integral part of these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73"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68</w:t>
                      </w:r>
                    </w:p>
                  </w:txbxContent>
                </v:textbox>
                <w10:wrap type="none"/>
              </v:rect>
            </w:pict>
          </mc:Fallback>
        </mc:AlternateContent>
      </w:r>
    </w:p>
    <w:p>
      <w:pPr>
        <w:pStyle w:val="TextBody"/>
        <w:bidi w:val="0"/>
        <w:spacing w:before="0" w:after="60"/>
        <w:jc w:val="left"/>
        <w:rPr/>
      </w:pPr>
      <w:r>
        <w:rPr/>
      </w:r>
    </w:p>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center"/>
        <w:rPr>
          <w:rFonts w:ascii="Arial;sans-serif" w:hAnsi="Arial;sans-serif"/>
          <w:b w:val="false"/>
          <w:color w:val="1D2758"/>
          <w:sz w:val="26"/>
        </w:rPr>
      </w:pPr>
      <w:r>
        <w:rPr>
          <w:rFonts w:ascii="Arial;sans-serif" w:hAnsi="Arial;sans-serif"/>
          <w:b w:val="false"/>
          <w:color w:val="1D2758"/>
          <w:sz w:val="26"/>
        </w:rPr>
        <w:t>WillScot Mobile Mini Holdings Corp.</w:t>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60"/>
        <w:jc w:val="left"/>
        <w:rPr>
          <w:rFonts w:ascii="Arial;sans-serif" w:hAnsi="Arial;sans-serif"/>
          <w:b w:val="false"/>
          <w:color w:val="1D2758"/>
          <w:sz w:val="26"/>
        </w:rPr>
      </w:pPr>
      <w:r>
        <w:rPr>
          <w:rFonts w:ascii="Arial;sans-serif" w:hAnsi="Arial;sans-serif"/>
          <w:b w:val="false"/>
          <w:color w:val="1D2758"/>
          <w:sz w:val="26"/>
        </w:rPr>
        <w:t>NOTE 1 - Summary of Significant Accounting Policies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Organization and Nature of Operations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WillScot Mobile Mini Holdings Corp. (“WillScot Mobile Mini” and, together with its subsidiaries, the “Company”) is a leading business services provider specializing in innovative and flexible turnkey temporary space solutions in the United States (“US”), Canada and Mexico. The Company leases, sells, delivers and installs modular space solutions and portable storage products through an integrated network of branch locations that spans North America.</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July 1, 2020, a wholly-owned subsidiary of WillScot Corporation, a Delaware corporation, merged with and into Mobile Mini, Inc. (the “Merger”). At the effective time of the Merger, Mobile Mini, Inc. ("Mobile Mini") continued its existence as the surviving corporation in the Merger and a wholly-owned subsidiary of WillScot Corporation (“WillScot”). Immediately following the Merger, WillScot changed its name to “WillScot Mobile Mini Holdings Corp.”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On September 30, 2022, the Company completed the sale of its former Tank and Pump Solutions ("Tank and Pump") segment. On January 31, 2023, the Company completed the sale of its former United Kingdom Storage Solutions ("UK Storage Solutions") segment. The consolidated financial statements present the historical financial results of the former Tank and Pump segment and the UK Storage Solutions segment as income from discontinued operations for all periods presented and the carrying values of the UK Storage Solutions segment assets and liabilities within assets and liabilities held for sale for reporting periods prior to the segments' disposals. See Note 3 for further discussion.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Basis of Presentation and Principles of Consolidation</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consolidated financial statements were prepared in conformity with accounting principles generally accepted in the US (“GAAP”). The consolidated financial statements comprise the financial statements of WillScot Mobile Mini and its subsidiaries that it controls due to ownership of a majority voting interest. 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WillScot Mobile Mini. All intercompany balances and transactions are eliminated.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Reclassifications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Certain reclassifications have been made to prior year financial statements to conform to the current year presentation.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Accounting Estimates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preparation of financial statements in conformity with GAAP requires management to make estimates and assumptions that affect the amounts reported in these consolidated financial statements and accompanying notes. Actual results could differ from those estimates.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Cash and Cash Equivalents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considers all highly liquid instruments with a maturity of three months or less when purchased to be cash equivalents.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Trade Receivables and Allowance for Credit Losses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is exposed to credit losses from trade receivables. The Company assesses each customer’s ability to pay for the products it leases or sells by conducting a credit review. The credit review considers expected billing exposure and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monitors ongoing credit exposure through an active review of customer balances against contract terms and due dates. The Company may employ collection agencies and legal counsel to pursue recovery of defaulted receivables. The allowance for credit losses reflects the estimate of the amount of receivables that the Company will be unable to collect based on historical write-off experience and, as applicable, current conditions and reasonable and supportable forecasts that affect collectability. This estimate is sensitive to changing circumstances, including changes in the economy or in the particular circumstances of individual customers. Accordingly, the Company may be required to increase or decrease its allowances.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Specifically identifiable lease revenue receivables and sales receivables not deemed probable of collection are recorded as a reduction of revenue. The remaining provision for credit losses is recorded as selling, general and administrative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74"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69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Activity in the allowance for credit losses for the years ended December 31 was as follows:</w:t>
      </w:r>
    </w:p>
    <w:tbl>
      <w:tblPr>
        <w:tblW w:w="7616" w:type="dxa"/>
        <w:jc w:val="left"/>
        <w:tblInd w:w="0" w:type="dxa"/>
        <w:tblLayout w:type="fixed"/>
        <w:tblCellMar>
          <w:top w:w="28" w:type="dxa"/>
          <w:left w:w="28" w:type="dxa"/>
          <w:bottom w:w="28" w:type="dxa"/>
          <w:right w:w="28" w:type="dxa"/>
        </w:tblCellMar>
      </w:tblPr>
      <w:tblGrid>
        <w:gridCol w:w="1377"/>
        <w:gridCol w:w="1207"/>
        <w:gridCol w:w="1210"/>
        <w:gridCol w:w="211"/>
        <w:gridCol w:w="721"/>
        <w:gridCol w:w="109"/>
        <w:gridCol w:w="109"/>
        <w:gridCol w:w="109"/>
        <w:gridCol w:w="109"/>
        <w:gridCol w:w="211"/>
        <w:gridCol w:w="721"/>
        <w:gridCol w:w="109"/>
        <w:gridCol w:w="109"/>
        <w:gridCol w:w="109"/>
        <w:gridCol w:w="109"/>
        <w:gridCol w:w="211"/>
        <w:gridCol w:w="721"/>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beginning of period</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Provision for credit losses, net of recoveries</w:t>
            </w:r>
            <w:r>
              <w:rPr>
                <w:rFonts w:ascii="Arial;sans-serif" w:hAnsi="Arial;sans-serif"/>
                <w:b w:val="false"/>
                <w:color w:val="000000"/>
                <w:sz w:val="12"/>
              </w:rPr>
              <w:t>(a)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(19,777)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end of period</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81,656 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57,048 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45,773 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both"/>
        <w:rPr>
          <w:rFonts w:ascii="Arial;sans-serif" w:hAnsi="Arial;sans-serif"/>
          <w:b w:val="false"/>
          <w:color w:val="000000"/>
          <w:sz w:val="16"/>
        </w:rPr>
      </w:pPr>
      <w:r>
        <w:rPr>
          <w:rFonts w:ascii="Arial;sans-serif" w:hAnsi="Arial;sans-serif"/>
          <w:b w:val="false"/>
          <w:color w:val="000000"/>
          <w:sz w:val="16"/>
        </w:rPr>
        <w:t>(a) For the years ended December 31, 2023, 2022 and 2021, the provision for credit losses included $25.2 million, $23.7 million and $19.8 million, respectively, recorded as a reduction to revenue for the provision of specific receivables whose collection was not considered probable.</w:t>
      </w:r>
    </w:p>
    <w:p>
      <w:pPr>
        <w:pStyle w:val="TextBody"/>
        <w:bidi w:val="0"/>
        <w:spacing w:lineRule="auto" w:line="288" w:before="6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Company’s trade accounts receivable subject the Company to potential concentrations of credit risk. The Company performs on-going credit evaluations of its customers. Receivables related to sales are generally secured by the product sold to the customer. The Company generally has the right to repossess its rental units in the event of non-payment of receivables relating to the Company’s leasing operations. </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Inventories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Inventories consist of raw materials, supplies, and finished units for sale. Inventories are measured at the lower of cost or net realizable value based on the weighted-average cost. The cost includes expenditures incurred in acquiring the inventories, production or conversion costs, and other costs incurred in bringing them to their existing location and condition.</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Rental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Rental equipment is comprised of modular space and portable storage units held for rent or on rent to customers and value-added products and services (“VAPS”) which are in use or available to be used by customers. Rental equipment is measured at cost less accumulated depreciation and impairment losses. Cost includes expenditures that are directly attributable to the acquisition of the asset. Costs of improvements and conversions of rental equipment are capitalized when such costs extend the useful life of the equipment or increase the rental value of the unit. Costs incurred for equipment to meet a particular customer specification are either capitalized and depreciated over the lease term taking into consideration the residual value of the asset or charged to the customer at the beginning of the lease and expensed as incurred. Maintenance and repair costs are expensed as incurred.</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Depreciation is computed using the straight-line method over estimated useful lives, as follows:</w:t>
      </w:r>
    </w:p>
    <w:tbl>
      <w:tblPr>
        <w:tblW w:w="7031" w:type="dxa"/>
        <w:jc w:val="left"/>
        <w:tblInd w:w="0" w:type="dxa"/>
        <w:tblLayout w:type="fixed"/>
        <w:tblCellMar>
          <w:top w:w="28" w:type="dxa"/>
          <w:left w:w="28" w:type="dxa"/>
          <w:bottom w:w="28" w:type="dxa"/>
          <w:right w:w="28" w:type="dxa"/>
        </w:tblCellMar>
      </w:tblPr>
      <w:tblGrid>
        <w:gridCol w:w="1254"/>
        <w:gridCol w:w="1101"/>
        <w:gridCol w:w="1110"/>
        <w:gridCol w:w="609"/>
        <w:gridCol w:w="609"/>
        <w:gridCol w:w="611"/>
        <w:gridCol w:w="109"/>
        <w:gridCol w:w="109"/>
        <w:gridCol w:w="109"/>
        <w:gridCol w:w="412"/>
        <w:gridCol w:w="412"/>
        <w:gridCol w:w="586"/>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Estimated Useful Life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Residual Value</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units</w:t>
            </w:r>
          </w:p>
        </w:tc>
        <w:tc>
          <w:tcPr>
            <w:tcW w:w="18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10 - 30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20 - 55%</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units</w:t>
            </w:r>
          </w:p>
        </w:tc>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7 - 30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20 - 55%</w:t>
            </w:r>
          </w:p>
        </w:tc>
      </w:tr>
      <w:tr>
        <w:trPr/>
        <w:tc>
          <w:tcPr>
            <w:tcW w:w="346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VAPS and other related rental equipment</w:t>
            </w:r>
          </w:p>
        </w:tc>
        <w:tc>
          <w:tcPr>
            <w:tcW w:w="18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1 - 10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0%</w:t>
            </w:r>
          </w:p>
        </w:tc>
      </w:tr>
    </w:tbl>
    <w:p>
      <w:pPr>
        <w:pStyle w:val="TextBody"/>
        <w:bidi w:val="0"/>
        <w:spacing w:lineRule="auto" w:line="288" w:before="120" w:after="60"/>
        <w:jc w:val="both"/>
        <w:rPr>
          <w:rFonts w:ascii="Arial;sans-serif" w:hAnsi="Arial;sans-serif"/>
          <w:b/>
          <w:color w:val="000000"/>
          <w:sz w:val="20"/>
        </w:rPr>
      </w:pPr>
      <w:r>
        <w:rPr>
          <w:rFonts w:ascii="Arial;sans-serif" w:hAnsi="Arial;sans-serif"/>
          <w:b/>
          <w:color w:val="000000"/>
          <w:sz w:val="20"/>
        </w:rPr>
        <w:t>Property, Plant and Equipment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Property, plant and equipment is measured at cost less accumulated depreciation and impairment losses.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Company capitalizes external costs and directly attributable internal costs to acquire or create internal use software incurred subsequent to the completion of the preliminary project stage. </w:t>
      </w:r>
      <w:r>
        <w:rPr>
          <w:rFonts w:ascii="Arial;sans-serif" w:hAnsi="Arial;sans-serif"/>
          <w:b w:val="false"/>
          <w:color w:val="000000"/>
          <w:sz w:val="18"/>
          <w:shd w:fill="FFFFFF" w:val="clear"/>
        </w:rPr>
        <w:t xml:space="preserve">Costs associated with post-implementation activities are expensed as incurred. The Company evaluates implementation costs incurred in a cloud computing arrangement that is a service contract as described in Cloud Computing Arrangements below.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Land is not depreciated. Leasehold improvements are amortized over the lease term. Assets leased under finance leases are depreciated over the shorter of the lease term or their useful life, unless it is reasonably certain that the Company will obtain ownership by the end of the lease term. Maintenance and repair costs are expensed as incurred.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Depreciation is computed using the straight-line method over estimated useful lives as follows:</w:t>
      </w:r>
    </w:p>
    <w:tbl>
      <w:tblPr>
        <w:tblW w:w="5174" w:type="dxa"/>
        <w:jc w:val="left"/>
        <w:tblInd w:w="0" w:type="dxa"/>
        <w:tblLayout w:type="fixed"/>
        <w:tblCellMar>
          <w:top w:w="28" w:type="dxa"/>
          <w:left w:w="28" w:type="dxa"/>
          <w:bottom w:w="28" w:type="dxa"/>
          <w:right w:w="28" w:type="dxa"/>
        </w:tblCellMar>
      </w:tblPr>
      <w:tblGrid>
        <w:gridCol w:w="1195"/>
        <w:gridCol w:w="1050"/>
        <w:gridCol w:w="1055"/>
        <w:gridCol w:w="548"/>
        <w:gridCol w:w="548"/>
        <w:gridCol w:w="778"/>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Estimated Useful Life</w:t>
            </w:r>
          </w:p>
        </w:tc>
      </w:tr>
      <w:tr>
        <w:trPr/>
        <w:tc>
          <w:tcPr>
            <w:tcW w:w="3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Buildings and leasehold improvements</w:t>
            </w:r>
          </w:p>
        </w:tc>
        <w:tc>
          <w:tcPr>
            <w:tcW w:w="18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10 - 40 years</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Vehicles, machinery, and equipment</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3 - 30 years</w:t>
            </w:r>
          </w:p>
        </w:tc>
      </w:tr>
      <w:tr>
        <w:trPr/>
        <w:tc>
          <w:tcPr>
            <w:tcW w:w="33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and fixtures</w:t>
            </w:r>
          </w:p>
        </w:tc>
        <w:tc>
          <w:tcPr>
            <w:tcW w:w="187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3 - 10 years</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w:t>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3 - 10 years</w:t>
            </w:r>
          </w:p>
        </w:tc>
      </w:tr>
    </w:tbl>
    <w:p>
      <w:pPr>
        <w:pStyle w:val="TextBody"/>
        <w:bidi w:val="0"/>
        <w:spacing w:lineRule="auto" w:line="288" w:before="120" w:after="60"/>
        <w:jc w:val="both"/>
        <w:rPr>
          <w:rFonts w:ascii="Arial;sans-serif" w:hAnsi="Arial;sans-serif"/>
          <w:b/>
          <w:i/>
          <w:color w:val="1D2758"/>
          <w:sz w:val="18"/>
        </w:rPr>
      </w:pPr>
      <w:r>
        <w:rPr>
          <w:rFonts w:ascii="Arial;sans-serif" w:hAnsi="Arial;sans-serif"/>
          <w:b/>
          <w:i/>
          <w:color w:val="1D2758"/>
          <w:sz w:val="18"/>
        </w:rPr>
        <w:t>Impairment of Long-Lived Assets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When circumstances indicate the carrying amount of long-lived assets in a held-for-use asset group may not be recoverable, the Company evaluates the assets for potential impairment using internal projections of undiscounted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75"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resulting from the use and eventual disposal of the assets. Events or changes in circumstances that may necessitate a recoverability evaluation include, but are not limited to, adverse changes in the regulatory environment or an expectation it is more likely than not that the asset will be disposed of before the end of its previously estimated useful life. If the carrying amount of the assets exceeds the undiscounted cash flows, an impairment expense is recognized for the amount by which the carrying amount of the asset group exceeds its fair value (subject to the carrying amount not being reduced below fair value for any individual long-lived asset that is determinable without undue cost and effort).</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Consistent with the provisions of </w:t>
      </w:r>
      <w:r>
        <w:rPr>
          <w:rFonts w:ascii="Arial;sans-serif" w:hAnsi="Arial;sans-serif"/>
          <w:b w:val="false"/>
          <w:i/>
          <w:color w:val="000000"/>
          <w:sz w:val="18"/>
          <w:shd w:fill="FFFFFF" w:val="clear"/>
        </w:rPr>
        <w:t xml:space="preserve">Leases (Topic 842) </w:t>
      </w:r>
      <w:r>
        <w:rPr>
          <w:rFonts w:ascii="Arial;sans-serif" w:hAnsi="Arial;sans-serif"/>
          <w:b w:val="false"/>
          <w:color w:val="000000"/>
          <w:sz w:val="18"/>
          <w:shd w:fill="FFFFFF" w:val="clear"/>
        </w:rPr>
        <w:t>("ASC 842")</w:t>
      </w:r>
      <w:r>
        <w:rPr>
          <w:rFonts w:ascii="Arial;sans-serif" w:hAnsi="Arial;sans-serif"/>
          <w:b w:val="false"/>
          <w:color w:val="000000"/>
          <w:sz w:val="18"/>
        </w:rPr>
        <w:t>, the Company assesses whether any operating lease as</w:t>
      </w:r>
      <w:r>
        <w:rPr>
          <w:rFonts w:ascii="Arial;sans-serif" w:hAnsi="Arial;sans-serif"/>
          <w:b w:val="false"/>
          <w:color w:val="000000"/>
          <w:sz w:val="18"/>
          <w:shd w:fill="FFFFFF" w:val="clear"/>
        </w:rPr>
        <w:t xml:space="preserve">set impairment exists in accordance with the measurement guidance in Accounting Standard Codification ("ASC") 360, </w:t>
      </w:r>
      <w:r>
        <w:rPr>
          <w:rFonts w:ascii="Arial;sans-serif" w:hAnsi="Arial;sans-serif"/>
          <w:b w:val="false"/>
          <w:i/>
          <w:color w:val="000000"/>
          <w:sz w:val="18"/>
          <w:shd w:fill="FFFFFF" w:val="clear"/>
        </w:rPr>
        <w:t>Property Plant and Equipment</w:t>
      </w:r>
      <w:r>
        <w:rPr>
          <w:rFonts w:ascii="Arial;sans-serif" w:hAnsi="Arial;sans-serif"/>
          <w:b w:val="false"/>
          <w:color w:val="000000"/>
          <w:sz w:val="18"/>
          <w:shd w:fill="FFFFFF" w:val="clear"/>
        </w:rPr>
        <w:t>.</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Cloud Computing Arrangements</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 xml:space="preserve">In accordance with </w:t>
      </w:r>
      <w:r>
        <w:rPr>
          <w:rFonts w:ascii="Arial;sans-serif" w:hAnsi="Arial;sans-serif"/>
          <w:b w:val="false"/>
          <w:color w:val="000000"/>
          <w:sz w:val="18"/>
        </w:rPr>
        <w:t xml:space="preserve">ASU 2018-15, </w:t>
      </w:r>
      <w:r>
        <w:rPr>
          <w:rFonts w:ascii="Arial;sans-serif" w:hAnsi="Arial;sans-serif"/>
          <w:b w:val="false"/>
          <w:i/>
          <w:color w:val="000000"/>
          <w:sz w:val="18"/>
        </w:rPr>
        <w:t xml:space="preserve">Goodwill and Other – Internal-Use Software (Subtopic 350-40) </w:t>
      </w:r>
      <w:r>
        <w:rPr>
          <w:rFonts w:ascii="Arial;sans-serif" w:hAnsi="Arial;sans-serif"/>
          <w:b w:val="false"/>
          <w:color w:val="000000"/>
          <w:sz w:val="18"/>
        </w:rPr>
        <w:t>(“ASC 350-40"), t</w:t>
      </w:r>
      <w:r>
        <w:rPr>
          <w:rFonts w:ascii="Arial;sans-serif" w:hAnsi="Arial;sans-serif"/>
          <w:b w:val="false"/>
          <w:color w:val="000000"/>
          <w:sz w:val="18"/>
          <w:shd w:fill="FFFFFF" w:val="clear"/>
        </w:rPr>
        <w:t xml:space="preserve">he Company evaluates implementation costs incurred in a cloud computing arrangement that is a service contract under the internal-use software framework. Costs related to preliminary project activities and post implementation activities are expensed as incurred. Costs incurred in the development stage are generally capitalized as other assets. Amortization expense is calculated on a straight-line basis over the contractual term of the cloud computing arrangement and recorded as selling, general and administrative expense.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Purchase Accounting</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accounts for acquisitions of businesses under the acquisition method. Under the acquisition method of accounting, the Company records assets acquired and liabilities assumed at their respective estimated fair values on the date of acquisition. Goodwill is measured as the excess of the fair value of the consideration transferred over the fair value of the identifiable net assets and is assigned to the Company's reporting units that are expected to benefit from the acquisition. When appropriate, our estimates of the fair values of assets and liabilities acquired include assistance from independent third-party valuation firms. Valuations are finalized as soon as practicable, but not later than one year from the acquisition date. Any subsequent changes to purchase price allocations result in a corresponding adjustment to goodwill. Transaction costs are expensed in the acquisition of a business.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Long-lived assets (principally rental equipment), goodwill and other intangible assets generally represent the largest components of our acquisitions. Rental equipment is valued utilizing a market approach or a replacement cost approach. Intangible assets are recognized at their estimated fair values as of the date of acquisition and generally consist of customer relationships and trade names. Determination of the estimated fair value of intangible assets requires judgment. The estimated fair value of customer relationships is determined based on estimates and judgments regarding discounted future after-tax earnings and cash flows arising from lease renewals and new lease arrangements expected from customer relationships. The fair value of trade name intangible assets is determined utilizing the relief from royalty method. Under this form of the income approach, a royalty rate based on observed market royalties is applied to projected revenue supporting the trade name and discounted to present value.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Acquisitions of assets and liabilities that do not meet the definition of a business are accounted for as asset acquisitions. An asset acquisition is accounted for by allocating the cost of the acquisition to the individual assets acquired and liabilities assumed on a relative fair value basis. Goodwill is not recognized in an asset acquisition. Any consideration in excess of net assets acquired is allocated to qualifying acquired assets on a relative fair value basis. The Company measures the fair value of assets acquired utilizing observable market transaction data for comparable assets or recent purchase prices. Transaction costs are considered a component of the cost of an asset acquisition.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Evaluation of Goodwill Impairment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Company performs its annual impairment test of goodwill at the reporting unit level as of October 1, as well as during any reporting period in which events or changes in circumstances occur that, in management’s judgment, may constitute triggering events under ASC 350-20, </w:t>
      </w:r>
      <w:r>
        <w:rPr>
          <w:rFonts w:ascii="Arial;sans-serif" w:hAnsi="Arial;sans-serif"/>
          <w:b w:val="false"/>
          <w:i/>
          <w:color w:val="000000"/>
          <w:sz w:val="18"/>
        </w:rPr>
        <w:t>Intangibles – Goodwill and Other, Testing Goodwill for Impairment</w:t>
      </w:r>
      <w:r>
        <w:rPr>
          <w:rFonts w:ascii="Arial;sans-serif" w:hAnsi="Arial;sans-serif"/>
          <w:b w:val="false"/>
          <w:color w:val="000000"/>
          <w:sz w:val="18"/>
        </w:rPr>
        <w:t xml:space="preserve">. The Company performs its assessment of goodwill utilizing either a qualitative or quantitative impairment test. The qualitative impairment test assesses company-specific, industry, market and general economic factors to determine whether it is more likely than not that the fair value of the reporting unit is less than its carrying amount. If the Company concludes that it is more likely than not that the fair value of the reporting unit is less than its carrying amount, or elects not to use the qualitative impairment test, a quantitative impairment test is performed. The quantitative impairment test involves a comparison of the estimated fair value of a reporting unit to its carrying amount. </w:t>
      </w:r>
    </w:p>
    <w:p>
      <w:pPr>
        <w:pStyle w:val="TextBody"/>
        <w:bidi w:val="0"/>
        <w:spacing w:lineRule="auto" w:line="276"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Determining the fair value of a reporting unit is judgmental in nature and involves the use of significant estimates and assumptions. These estimates and assumptions include revenue growth rates and operating margins used to calculate projected future cash flows, risk-adjusted discount rates, value of net operating losses, future economic and market conditions and determination of appropriate market comparables. Management bases fair value estimates on assumptions it believes to be reasonable but that are unpredictable and inherently uncertain. Actual future results may differ from these estimates.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If the carrying amount of the reporting unit exceeds the calculated fair value of the reporting unit, an impairment charge would be recognized for the excess of carrying value over fair value, not to exceed the amount of goodwill allocated to that reporting unit.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76"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Intangible Assets Other than Goodwill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Intangible assets that are acquired by the Company and determined to have an indefinite useful life are not amortized but are tested for impairment at least annually. The Company’s indefinite-lived intangible assets consist of the Williams Scotsman and Mobile Mini trade names. The Company performs its assessment of indefinite-lived intangible assets utilizing either a qualitative or quantitative impairment test. When utilizing a quantitative impairment test, the Company calculates fair value using a relief-from-royalty method. This method is used to estimate the cost savings that accrue to the owner of an intangible asset who would otherwise have to pay royalties or license fees on revenues earned through the use of the asset. If the carrying amount of the indefinite-lived intangible asset exceeds its fair value, an impairment charge would be recorded to the extent the recorded indefinite-lived intangible asset exceeds the fair value.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Other intangible assets that have finite useful lives are measured at cost less accumulated amortization and impairment losses, if any. Amortization is recognized in profit or loss over the estimated useful lives of the intangible asset. </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Retirement Benefit Obligation</w:t>
      </w:r>
    </w:p>
    <w:p>
      <w:pPr>
        <w:pStyle w:val="TextBody"/>
        <w:bidi w:val="0"/>
        <w:spacing w:lineRule="auto" w:line="288" w:before="0" w:after="120"/>
        <w:ind w:left="0" w:right="0" w:firstLine="720"/>
        <w:jc w:val="both"/>
        <w:rPr/>
      </w:pPr>
      <w:r>
        <w:rPr>
          <w:rFonts w:ascii="Arial;sans-serif" w:hAnsi="Arial;sans-serif"/>
          <w:b w:val="false"/>
          <w:color w:val="000000"/>
          <w:sz w:val="18"/>
        </w:rPr>
        <w:t>The Company provides benefits to certain of its employees under defined contribution benefit plans. The Company’s contributions to these plans are generally based on a percentage of employee compensation or employee contributions. These plans are funded on a current basis. For its US and Canada employees, the Company sponsors defined contribution benefit plans that have discretionary matching contribution and profit-sharing features. Fo</w:t>
      </w:r>
      <w:r>
        <w:rPr>
          <w:rFonts w:ascii="Arial;sans-serif" w:hAnsi="Arial;sans-serif"/>
          <w:b w:val="false"/>
          <w:color w:val="000000"/>
          <w:sz w:val="18"/>
          <w:shd w:fill="FFFFFF" w:val="clear"/>
        </w:rPr>
        <w:t>r the years ended December 31, 2023, 2022 and 2021,</w:t>
      </w:r>
      <w:r>
        <w:rPr>
          <w:color w:val="000000"/>
        </w:rPr>
        <w:t xml:space="preserve"> </w:t>
      </w:r>
      <w:r>
        <w:rPr>
          <w:rFonts w:ascii="Arial;sans-serif" w:hAnsi="Arial;sans-serif"/>
          <w:b w:val="false"/>
          <w:color w:val="000000"/>
          <w:sz w:val="18"/>
        </w:rPr>
        <w:t>the Company made matc</w:t>
      </w:r>
      <w:r>
        <w:rPr>
          <w:rFonts w:ascii="Arial;sans-serif" w:hAnsi="Arial;sans-serif"/>
          <w:b w:val="false"/>
          <w:color w:val="000000"/>
          <w:sz w:val="18"/>
          <w:shd w:fill="FFFFFF" w:val="clear"/>
        </w:rPr>
        <w:t>hing contributions of</w:t>
      </w:r>
      <w:r>
        <w:rPr>
          <w:color w:val="000000"/>
        </w:rPr>
        <w:t xml:space="preserve"> </w:t>
      </w:r>
      <w:r>
        <w:rPr>
          <w:rFonts w:ascii="Arial;sans-serif" w:hAnsi="Arial;sans-serif"/>
          <w:b w:val="false"/>
          <w:color w:val="000000"/>
          <w:sz w:val="18"/>
        </w:rPr>
        <w:t>$14.1 million,</w:t>
      </w:r>
      <w:r>
        <w:rPr>
          <w:color w:val="000000"/>
          <w:shd w:fill="FFFFFF" w:val="clear"/>
        </w:rPr>
        <w:t xml:space="preserve"> </w:t>
      </w:r>
      <w:r>
        <w:rPr>
          <w:rFonts w:ascii="Arial;sans-serif" w:hAnsi="Arial;sans-serif"/>
          <w:b w:val="false"/>
          <w:color w:val="000000"/>
          <w:sz w:val="18"/>
          <w:shd w:fill="FFFFFF" w:val="clear"/>
        </w:rPr>
        <w:t>$13.8 million and $10.9 million to these plans, respectively.</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Stock-Based Compensation</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Prior to the Merger, stock awards were granted under the WillScot Corporation 2017 Incentive Award Plan (the "2017 Incentive Plan"), which included Restricted Stock Awards ("RSAs") and Restricted Stock Units. On June 24, 2020, WillScot's stockholders approved the WillScot Mobile Mini 2020 Incentive Award Plan ("2020 Incentive Plan") to take effect pending completion of the Merger and, as a result, all future incentive awards are granted under the 2020 Incentive Plan. </w:t>
      </w:r>
      <w:r>
        <w:rPr>
          <w:rFonts w:ascii="Arial;sans-serif" w:hAnsi="Arial;sans-serif"/>
          <w:b w:val="false"/>
          <w:color w:val="000000"/>
          <w:sz w:val="18"/>
          <w:shd w:fill="FFFFFF" w:val="clear"/>
        </w:rPr>
        <w:t>The 2020 Incentive Plan is administered by the Compensation Committee. Under the 2020 Incentive Plan, the Compensation Committee may grant an aggreg</w:t>
      </w:r>
      <w:r>
        <w:rPr>
          <w:rFonts w:ascii="Arial;sans-serif" w:hAnsi="Arial;sans-serif"/>
          <w:b w:val="false"/>
          <w:color w:val="000000"/>
          <w:sz w:val="18"/>
        </w:rPr>
        <w:t>ate of 6,488,988 shares of Common Stock in the form of non-qualified stock options, incentive stock options, stock appreciation rights, RSAs, RSUs, performance compensation awards and stock bonus awards. Stock-based payments, including the grant of stock options, RSAs and RSUs, are subject to service-based vesting requirements, and expense is recognized on a straight-line basis over the vesting period. Forfeitures are accounted for as they occur.</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Stock-based compensation expense includes grants of stock options, time-based RSUs ("Time-Based RSUs") and performance-based RSUs ("Performance-Based RSUs", together with Time-Based RSUs, the "RSUs"). RSUs are recognized in the financial statements based on their fair value. In addition, stock-based payments to non-executive directors include grants of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RSAs cliff vest in a one year period. Time-Based RSUs vest ratably over a period of four years. Certain Performance-Based RSUs cliff vest based on achievement of the relative total stockholder return ("TSR") of the Company's Common Stock as compared to the TSR of the constituents in an Index at the grant date over the performance period of three years. For certain 2023, 2022, and 2021 grants, the TSR of the Company's Common Stock is compared to the TSR of the constituents in the S&amp;P 400 index. The target number of RSUs may be adjusted from 0% to 200% based on the TSR attainment levels defined by the Compensation Committee. The 100% target payout is tied to performance at the 50% percentile, with a payout curve ranging from 0% (for performance less than the 25% percentile) to 200% (for performance at or above the 85% percentile). For grants in 2020 and prior, the TSR of the Company's Common Stock is compared to the TSR of constituents in the Russell 3000 index. The target number of RSUs may be adjusted from 0% to 150% based on the TSR attainment levels defined by the Compensation Committee. The 100% target payout is tied to performance at the 50% percentile, with a payout curve ranging from 0% (for performance less than the 25% percentile) to 150% (for performance at or above the 75% percentile). Vesting is also subject to continued service requirements through the vesting date.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For 555,790 Performance-Based RSUs granted in 2021, the awards cliff vest based on achievement of specified share prices of the Company's Common Stock at annual measurement dates over performance periods of 4.5 years to 4.8 years. The target number of RSUs may be adjusted from 0 to 1,333,334 based on the stock price attainment levels defined by the Company's Compensation Committee. The 555,790 RSU target payout is tied to a stock price of $47.50, with a payout ranging from 0 RSUs (for a stock price less than $42.50) to 1,333,334 RSUs (for a stock price of $60.00 or greater).</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Stock options vest in tranches over a period of four years and expire ten years from the grant date. The fair value of each stock option award on the grant date is estimated using the Black-Scholes option-pricing model with the following assumptions: expected dividend yield, expected stock price volatility, weighted-average risk-free interest rate and weighted-average expected term of the options. The volatility assumption used in the Black-Scholes option-pricing model was based on a blend of peer group volatility and Company trading history as the Company did not have a sufficient trading history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77"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stand-alone public company to rely exclusively on its own trading history. Future calculations may use the Company trading history. Additionally, due to an insufficient history with respect to stock option activity and post-vesting cancellations, the expected term assumption was based on the simplified method under GAAP, which is based on the vesting period and contractual term for each tranche of awards. The mid-point between the weighted-average vesting term and the expiration date is used as the expected term under this method. The risk-free interest rate used in the Black-Scholes model is based on the implied US Treasury bill yield curve at the date of grant with a remaining term equal to the Company’s expected term assumption. WillScot Mobile Mini has never declared or paid a cash dividend on common shares.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Foreign Currency Translation and Transactions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Company’s reporting currency is the US Dollar (“USD”). Exchange rate adjustments resulting from foreign currency transactions are recognized in profit or loss, whereas effects resulting from the translation of financial statements are reflected as a component of accumulated other comprehensive loss, which is a component of shareholders’ equity.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assets and liabilities of subsidiaries whose functional currency is different from the USD are translated into USD at exchange rates at the reporting date and income and expenses are translated using average exchange rates for the respective period.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Exchange rate adjustments resulting from transactions in foreign currencies (currencies other than the Company entities’ functional currencies) are remeasured to the respective functional currencies using exchange rates at the dates of the transactions and are recognized in currency (gains) losses on the consolidated statements of operations.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Foreign exchange gains and losses arising from a receivable or payable to a consolidated Company entity, the settlement of which is neither planned nor anticipated in the foreseeable future, are considered to form part of a net investment in the Company entity and are included within accumulated other comprehensive loss.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Derivative Instruments and Hedging Activities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utilizes derivative financial instruments to manage its exposure to fluctuations in interest rates on variable rate debt and currency exchange rates. The Company does not use derivatives for trading or speculative purposes.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records derivatives on the balance sheet at fair value within prepaid expenses and other current assets and other non-current assets (if in an unrealized gain position) or within accrued liabilities and other non-current liabilities (if in an unrealized loss position). If a derivative is designated as a cash flow hedge and meets the highly effective threshold, the changes in the fair value of derivatives are recorded in accumulated other comprehensive loss. Amounts reported in accumulated other comprehensive loss related to the cash flow hedges are reclassified to earnings when the hedged item impacts earnings. For any derivative instruments not designated as hedging instruments, changes in fair value would be recognized in earnings in the period that the change occurs. The Company assesses, both at the inception of the hedge and on an ongoing quarterly basis, whether the derivatives designated as cash flow hedges are highly effective in offsetting the changes in cash flows of the hedged items. In the consolidated statements of cash flows, cash inflows and outflows related to derivative instruments are presented based on the underlying nature of the hedged items. </w:t>
      </w:r>
    </w:p>
    <w:p>
      <w:pPr>
        <w:pStyle w:val="TextBody"/>
        <w:bidi w:val="0"/>
        <w:spacing w:lineRule="auto" w:line="288" w:before="0" w:after="120"/>
        <w:ind w:left="0" w:right="0" w:firstLine="720"/>
        <w:jc w:val="both"/>
        <w:rPr/>
      </w:pPr>
      <w:r>
        <w:rPr>
          <w:rFonts w:ascii="Arial;sans-serif" w:hAnsi="Arial;sans-serif"/>
          <w:b w:val="false"/>
          <w:color w:val="000000"/>
          <w:sz w:val="18"/>
        </w:rPr>
        <w:t>The use of derivative financial instruments carries certain risks, including the risk that the counterparties to these contractual arrangements are not able to perform under the agreements. To mitigate this risk, the Company enters into derivative financial ins</w:t>
      </w:r>
      <w:r>
        <w:rPr>
          <w:rFonts w:ascii="Arial;sans-serif" w:hAnsi="Arial;sans-serif"/>
          <w:b w:val="false"/>
          <w:color w:val="000000"/>
          <w:sz w:val="18"/>
          <w:shd w:fill="FFFFFF" w:val="clear"/>
        </w:rPr>
        <w:t>truments only with counterparties with high credit ratings and with major financial institutions. The Company does not anticipate that any of the counterparties will fail to meet their obligations.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Revenue Recognition</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 performance obligation is a promise in a contract to transfer a distinct good or service to the customer. A contract’s transaction price is allocated to each distinct performance obligation and recognized as revenue when, or as, the performance obligation is satisfied.</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Leasing and Services Revenue</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majority of revenue is generated by rental income subject to the guidance in ASC 842. The remaining revenue is generated by performance obligations in contracts with customers for services or sale of units subject to the guidance in Accounting Standards Update No. 2014-09, </w:t>
      </w:r>
      <w:r>
        <w:rPr>
          <w:rFonts w:ascii="Arial;sans-serif" w:hAnsi="Arial;sans-serif"/>
          <w:b w:val="false"/>
          <w:i/>
          <w:color w:val="000000"/>
          <w:sz w:val="18"/>
          <w:shd w:fill="FFFFFF" w:val="clear"/>
        </w:rPr>
        <w:t>Revenue from Contracts with Customers (Topic 606)</w:t>
      </w:r>
      <w:r>
        <w:rPr>
          <w:color w:val="000000"/>
          <w:shd w:fill="FFFFFF" w:val="clear"/>
        </w:rPr>
        <w:t xml:space="preserve"> </w:t>
      </w:r>
      <w:r>
        <w:rPr>
          <w:rFonts w:ascii="Arial;sans-serif" w:hAnsi="Arial;sans-serif"/>
          <w:b w:val="false"/>
          <w:color w:val="000000"/>
          <w:sz w:val="18"/>
          <w:shd w:fill="FFFFFF" w:val="clear"/>
        </w:rPr>
        <w:t>("ASC 606").</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 xml:space="preserve">Leasing Revenue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Income from operating leases is recognized on a straight-line basis over the lease term. The Company's lease arrangements can include multiple lease and non-lease components. Examples of lease components include, but are not limited to, the lease of modular space and portable storage units and VAPS. Examples of non-lease components include, but are not limited to, the delivery, install</w:t>
      </w:r>
      <w:r>
        <w:rPr>
          <w:rFonts w:ascii="Arial;sans-serif" w:hAnsi="Arial;sans-serif"/>
          <w:b w:val="false"/>
          <w:color w:val="000000"/>
          <w:sz w:val="18"/>
        </w:rPr>
        <w:t>ation, maintenance, and removal services commonly provided in a bundled transaction with the lease components. Arrangement consideration is allocated between lease deliverables and non-lease components based on the relative estimated selling (leasing) price of each deliverable. Estimated selling (leasing) price of the lease deliverables is based upon the estimated stand-alone selling price of the related performance obligations using an adjusted market approach.</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When leases and services are billed in advance, recognition of revenue is deferred until services are rendered. If equipment is returned prior to the contractually obligated period, the excess, if any, between the amount the customer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78"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contractually required to pay over the cumulative amount of revenue recognized to date is recognized as incremental revenue upon return.</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Rental equipment is leased primarily under operating leases. Rental contracts with customers within our Modular segment, as defined in Note </w:t>
      </w:r>
      <w:r>
        <w:rPr>
          <w:rFonts w:ascii="Arial;sans-serif" w:hAnsi="Arial;sans-serif"/>
          <w:b w:val="false"/>
          <w:color w:val="000000"/>
          <w:sz w:val="18"/>
        </w:rPr>
        <w:t>18</w:t>
      </w:r>
      <w:r>
        <w:rPr>
          <w:rFonts w:ascii="Arial;sans-serif" w:hAnsi="Arial;sans-serif"/>
          <w:b w:val="false"/>
          <w:color w:val="000000"/>
          <w:sz w:val="18"/>
          <w:shd w:fill="FFFFFF" w:val="clear"/>
        </w:rPr>
        <w:t>, are generally based on a 28</w:t>
        <w:noBreakHyphen/>
        <w:t>day or monthly rate and billing cycle. O</w:t>
      </w:r>
      <w:r>
        <w:rPr>
          <w:rFonts w:ascii="Arial;sans-serif" w:hAnsi="Arial;sans-serif"/>
          <w:b w:val="false"/>
          <w:color w:val="000000"/>
          <w:sz w:val="18"/>
        </w:rPr>
        <w:t xml:space="preserve">perating lease minimum contractual terms generally range from 1 month to 60 months and our leases are customarily renewable on a month-to-month basis after their initial term. Operating lease minimum contractual terms averaged approximately 10 months across this segment's rental fleet for the year ended December 31, </w:t>
      </w:r>
      <w:r>
        <w:rPr>
          <w:rFonts w:ascii="Arial;sans-serif" w:hAnsi="Arial;sans-serif"/>
          <w:b w:val="false"/>
          <w:color w:val="000000"/>
          <w:sz w:val="18"/>
          <w:shd w:fill="FFFFFF" w:val="clear"/>
        </w:rPr>
        <w:t>2023</w:t>
      </w:r>
      <w:r>
        <w:rPr>
          <w:rFonts w:ascii="Arial;sans-serif" w:hAnsi="Arial;sans-serif"/>
          <w:b w:val="false"/>
          <w:color w:val="000000"/>
          <w:sz w:val="18"/>
        </w:rPr>
        <w:t xml:space="preserve">. Rental contracts with customers within the Storage segment, as defined in Note 18, are generally based on a 28-day rate and billing cycle. The rental continues until cancelled by the Company or the customer. The Company records changes in estimated collectability directly against leasing revenue.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may use third parties to satisfy its performance obligations, including both the provision of VAPS and other services. To determine whether it is the principal or agent in the arrangement, the Company reviews each third-party relationship on a contract-by-contract basis. The Company is considered an agent when its role is to arrange for another entity to provide the VAPS and other services to the customer. In these instances, the Company does not control the rental unit or service before it is provided and the risk of performance is held by the third party. The Company is considered the principal when it controls the VAPS or other services prior to transferring control to the customer and retains the risk of performance. WillScot Mobile Mini may be a principal in the fulfillment of some leasing contracts and services elements and an agent for other elements within the same contract. Revenue is recognized on a gross basis when the Company is the principal in the arrangement and on a net basis when it is the agent.</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 xml:space="preserve">Services Revenue </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generally has three non-lease service-related performance obligations in its contracts with customers:</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Delivery and installation of the modular or portable storage unit;</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Maintenance and other ad hoc services performed during the lease term; and</w:t>
      </w:r>
    </w:p>
    <w:p>
      <w:pPr>
        <w:pStyle w:val="TextBody"/>
        <w:bidi w:val="0"/>
        <w:spacing w:lineRule="auto" w:line="288" w:before="0" w:after="60"/>
        <w:ind w:left="0" w:right="0" w:hanging="360"/>
        <w:jc w:val="both"/>
        <w:rPr/>
      </w:pPr>
      <w:r>
        <w:rPr>
          <w:color w:val="000000"/>
          <w:shd w:fill="FFFFFF" w:val="clear"/>
        </w:rPr>
        <w:t>•</w:t>
      </w:r>
      <w:r>
        <w:rPr>
          <w:rFonts w:ascii="Arial;sans-serif" w:hAnsi="Arial;sans-serif"/>
          <w:b w:val="false"/>
          <w:color w:val="000000"/>
          <w:sz w:val="18"/>
          <w:shd w:fill="FFFFFF" w:val="clear"/>
        </w:rPr>
        <w:t>Removal services that occur at the end of the lease term.</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Consideration is allocated to each of these performance obligations within the contract based upon their estimated relative standalone selling prices using an adjusted market approach. Revenue from these activities is recognized as the services are performed.</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 xml:space="preserve">Sales Revenue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Sales revenue is generated by the sale of new and rental units. Revenue from the sale of new and rental units is generally recognized at a point in time upon the transfer of control to the customer, which occurs when the unit is delivered and installed in accordance with the contract. Sales transactions constitute a single performance obligation.</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Other Matters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Company's non-lease revenues do not include material amounts of variable consideration, other than the variability noted for services arrangements expected to be performed beyond a twelve-month period.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The Company's payment terms vary by the type and location of its customer and the product or services offered. The time between invoicing and when payment is due is not significant. While the Company may bill certain customers in advance, its contracts do not contain a significant financing component based on the short length of time between upfront billings and the performance of contracted services. For certain products, services, or customer types, the Company requires payment before the products or services are delivered to the customer. At December 31, 2023, current deferred revenue and customer deposits included deferred reven</w:t>
      </w:r>
      <w:r>
        <w:rPr>
          <w:rFonts w:ascii="Arial;sans-serif" w:hAnsi="Arial;sans-serif"/>
          <w:b w:val="false"/>
          <w:color w:val="000000"/>
          <w:sz w:val="18"/>
        </w:rPr>
        <w:t>ue of $222.5 million and customer deposits of $2.0 million,</w:t>
      </w:r>
      <w:r>
        <w:rPr>
          <w:color w:val="000000"/>
          <w:shd w:fill="FFFFFF" w:val="clear"/>
        </w:rPr>
        <w:t xml:space="preserve"> </w:t>
      </w:r>
      <w:r>
        <w:rPr>
          <w:rFonts w:ascii="Arial;sans-serif" w:hAnsi="Arial;sans-serif"/>
          <w:b w:val="false"/>
          <w:color w:val="000000"/>
          <w:sz w:val="18"/>
          <w:shd w:fill="FFFFFF" w:val="clear"/>
        </w:rPr>
        <w:t xml:space="preserve">respectively. At December 31, 2022, current deferred revenue and customer deposits included deferred revenue of $195.8 million and customer deposits of $8.0 million, respectively. </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Revenue is recognized net of sales tax billed to customers, which is subsequently remitted to governmental authorities.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Leases as Lessee</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 leases real estate for certain of its branch offices, administrative offices, rental equipment storage properties, vehicles and equipment, and administrative operations. The Company determines if an arrangement is or contains a lease at inception. Leases are classified as either finance or operating at inception of the lease, with classification affecting the pattern of expense recognition in the income statement. Short-term leases, defined as leases with an initial term of 12 months or less, are not recorded on the balance sheet. Lease expense for short-term leases is recognized on a straight-line basis over the lease term.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 has leases that contain both lease and non-lease components and has elected, as an accounting policy, to not separate lease components and non-lease components. Right of use ("ROU") assets and liabilities are recognized at the commencement date based on the present value of lease payments over the lease term. The lease liability is calculated as the present value of the remaining minimum rental payments for existing leases using either the rate implicit in the lease or, if none exists, the Company's incremental borrowing rate, as the discount rate. The Company uses its incremental borrowing rate at commencement date in determining the present value of lease payments for those leases where the implicit rate is not known. The Company's incremental borrowing rate is a hypothetical rate based on its understanding of what would be the Company's secured credit rating. Variable lease payments are expensed in the period in which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79"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obligation for those payments is incurred. Variable lease payments include payments for common area maintenance, real estate taxes, management fees and insurance.</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Many of the Company’s real estate lease agreements include one or more options to extend the lease, which are not included in the minimum lease terms unless the Company is reasonably certain it will exercise the option. Additionally, the Comp</w:t>
      </w:r>
      <w:r>
        <w:rPr>
          <w:rFonts w:ascii="Arial;sans-serif" w:hAnsi="Arial;sans-serif"/>
          <w:b w:val="false"/>
          <w:color w:val="000000"/>
          <w:sz w:val="18"/>
        </w:rPr>
        <w:t>any’s leases do not generally include options to terminate the lease prior to the end of the lease term. The Company’s lease agreements do not contain any material residual value guarantees or material restrictive covenants.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Advertising and Promotion</w:t>
      </w:r>
    </w:p>
    <w:p>
      <w:pPr>
        <w:pStyle w:val="TextBody"/>
        <w:bidi w:val="0"/>
        <w:spacing w:lineRule="auto" w:line="288" w:before="0" w:after="120"/>
        <w:ind w:left="0" w:right="0" w:firstLine="720"/>
        <w:jc w:val="both"/>
        <w:rPr/>
      </w:pPr>
      <w:r>
        <w:rPr>
          <w:rFonts w:ascii="Arial;sans-serif" w:hAnsi="Arial;sans-serif"/>
          <w:b w:val="false"/>
          <w:color w:val="000000"/>
          <w:sz w:val="18"/>
        </w:rPr>
        <w:t>Advertising and promotion costs, which are expensed as incurred, were $10.5 million</w:t>
      </w:r>
      <w:r>
        <w:rPr>
          <w:rFonts w:ascii="Arial;sans-serif" w:hAnsi="Arial;sans-serif"/>
          <w:b w:val="false"/>
          <w:color w:val="000000"/>
          <w:sz w:val="18"/>
          <w:shd w:fill="FFFFFF" w:val="clear"/>
        </w:rPr>
        <w:t>, $8.5 million and $7.6 million for the years ended December 31, 2023, 2022 and 2021, respectively.</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Shipping Costs</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includes third-party costs to deliver rental equipment to customers in costs of leasing and services and cost of sales.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records deferred tax assets to the extent it believes that it is more likely than not that these assets will be realized. In making such determination, the Company considers all available positive and negative evidence, including scheduled reversals of deferred tax liabilities, projected future taxable income, tax planning strategies and recent results of operations. Valuation allowances are recorded to reduce the deferred tax assets to an amount that will more likely than not be realized.</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assesses the likelihood that each of the deferred tax assets will be realized. To the extent management believes realization of any deferred tax assets is not likely, the Company establishes a valuation allowance. When a valuation allowance is established or there is an increase in an allowance in a reporting period, tax expense is generally recorded in the Company’s consolidated statement of operations. Conversely, to the extent circumstances indicate that a valuation allowance is no longer necessary, that portion of the valuation allowance is reversed, which generally reduces the Company’s income tax expense.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Deferred tax liabilities are recognized for the income taxes on the undistributed earnings of wholly-owned foreign subsidiaries unless such earnings are indefinitely reinvested, or will only be repatriated when possible to do so at minimal additional tax cost. Income tax relating to items recognized directly in equity is recognized in equity and not in profit (loss) for the year.</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accordance with applicable authoritative guidance, the Company accounts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more-likely-than-not that the benefit of the tax position will be sustained on its technical merits, no benefit is recorded. Uncertain tax positions that relate only to timing of when an item is included on a tax return are considered to have met the recognition threshold. The Company classifies interest on tax deficiencies and income tax penalties within income tax expense.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Company accounts for any impacts of the Global Intangible Low-Taxed Income ("GILTI") in the period in which they are incurred.</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Fair Value Measurements</w:t>
      </w:r>
    </w:p>
    <w:p>
      <w:pPr>
        <w:pStyle w:val="TextBody"/>
        <w:bidi w:val="0"/>
        <w:spacing w:lineRule="auto" w:line="288" w:before="0" w:after="120"/>
        <w:ind w:left="0" w:right="0" w:firstLine="720"/>
        <w:jc w:val="both"/>
        <w:rPr/>
      </w:pPr>
      <w:r>
        <w:rPr>
          <w:rFonts w:ascii="Arial;sans-serif" w:hAnsi="Arial;sans-serif"/>
          <w:b w:val="false"/>
          <w:color w:val="000000"/>
          <w:sz w:val="18"/>
        </w:rPr>
        <w:t>The Company maximizes the use of observable inputs and minimizes the use of unobservable inputs when measuring fair value. A financial instrument’s categorization within the fair value hierarchy is based upon the lowest level of input that is significant to the fair va</w:t>
      </w:r>
      <w:r>
        <w:rPr>
          <w:rFonts w:ascii="Arial;sans-serif" w:hAnsi="Arial;sans-serif"/>
          <w:b w:val="false"/>
          <w:color w:val="000000"/>
          <w:sz w:val="18"/>
          <w:shd w:fill="FFFFFF" w:val="clear"/>
        </w:rPr>
        <w:t>lue measurement. The inputs are prioritized into three levels that may be used to measure fair value. See further discussion of the levels in Note 15.</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Warrants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The Company accounted for warrants in accordance with applicable accounting guidance provided in ASC 815-40, </w:t>
      </w:r>
      <w:r>
        <w:rPr>
          <w:rFonts w:ascii="Arial;sans-serif" w:hAnsi="Arial;sans-serif"/>
          <w:b w:val="false"/>
          <w:i/>
          <w:color w:val="000000"/>
          <w:sz w:val="18"/>
        </w:rPr>
        <w:t>Contracts in Entity's Own Equity</w:t>
      </w:r>
      <w:r>
        <w:rPr>
          <w:rFonts w:ascii="Arial;sans-serif" w:hAnsi="Arial;sans-serif"/>
          <w:b w:val="false"/>
          <w:color w:val="000000"/>
          <w:sz w:val="18"/>
        </w:rPr>
        <w:t xml:space="preserve">, as either derivative liabilities or as equity instruments depending on the specific terms of the warrant agreements. In periods subsequent to issuance, warrants classified as liabilities were subject to remeasurement at each balance sheet date and transaction date with changes in the estimated fair values of the common stock warrant liabilities and gains and losses on extinguishment of common stock warrant liabilities reported in the consolidated statements of operations. Effective </w:t>
      </w:r>
      <w:r>
        <w:rPr>
          <w:rFonts w:ascii="Arial;sans-serif" w:hAnsi="Arial;sans-serif"/>
          <w:b w:val="false"/>
          <w:color w:val="000000"/>
          <w:sz w:val="18"/>
          <w:shd w:fill="FFFFFF" w:val="clear"/>
        </w:rPr>
        <w:t>November 29, 2022</w:t>
      </w:r>
      <w:r>
        <w:rPr>
          <w:rFonts w:ascii="Arial;sans-serif" w:hAnsi="Arial;sans-serif"/>
          <w:b w:val="false"/>
          <w:color w:val="000000"/>
          <w:sz w:val="18"/>
        </w:rPr>
        <w:t xml:space="preserve">, no warrants were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80"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Recently Issued and Adopted Accounting Standards</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Recently Issued Accounting Standards</w:t>
      </w:r>
    </w:p>
    <w:p>
      <w:pPr>
        <w:pStyle w:val="TextBody"/>
        <w:bidi w:val="0"/>
        <w:spacing w:lineRule="auto" w:line="288" w:before="0" w:after="60"/>
        <w:jc w:val="both"/>
        <w:rPr/>
      </w:pPr>
      <w:r>
        <w:rPr>
          <w:rFonts w:ascii="Arial;sans-serif" w:hAnsi="Arial;sans-serif"/>
          <w:b w:val="false"/>
          <w:color w:val="000000"/>
          <w:sz w:val="18"/>
          <w:u w:val="single"/>
        </w:rPr>
        <w:t xml:space="preserve">ASU 2023-07. </w:t>
      </w:r>
      <w:r>
        <w:rPr>
          <w:rFonts w:ascii="Arial;sans-serif" w:hAnsi="Arial;sans-serif"/>
          <w:b w:val="false"/>
          <w:i/>
          <w:color w:val="000000"/>
          <w:sz w:val="18"/>
          <w:u w:val="single"/>
        </w:rPr>
        <w:t>Segment Reporting (Topic 280): Improvements to Reportable Segment Disclosures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In November 2023, the Financial Accounting Standards Board ("FASB") issued Accounting Standards Update No. 2023-07 </w:t>
      </w:r>
      <w:r>
        <w:rPr>
          <w:rFonts w:ascii="Arial;sans-serif" w:hAnsi="Arial;sans-serif"/>
          <w:b w:val="false"/>
          <w:i/>
          <w:color w:val="000000"/>
          <w:sz w:val="18"/>
        </w:rPr>
        <w:t>Segment Reporting (Topic 280): Improvements to Reportable Segment Disclosures</w:t>
      </w:r>
      <w:r>
        <w:rPr>
          <w:color w:val="000000"/>
        </w:rPr>
        <w:t xml:space="preserve"> </w:t>
      </w:r>
      <w:r>
        <w:rPr>
          <w:rFonts w:ascii="Arial;sans-serif" w:hAnsi="Arial;sans-serif"/>
          <w:b w:val="false"/>
          <w:color w:val="000000"/>
          <w:sz w:val="18"/>
        </w:rPr>
        <w:t xml:space="preserve">("ASU 2023-07"). ASU 2023-07 expands the breadth and frequency of segment disclosures, requiring disclosure of (i) significant segment expenses, (ii) other segment items, (iii) the chief operating decision maker's title and position, (iv) how the chief operating decision maker uses the reported measures of a segment's profit or loss and (v) interim disclosure of all segment profit, loss and asset disclosures currently required annually. ASU 2023-07 clarifies that a public entity may report one or more measures of segment profit or loss and requires that single reportable segment entities provide all required segment disclosures. ASU 2023-07 is effective for fiscal years beginning after December 15, 2023 and interim periods within fiscal years beginning after December 15, 2024. Early adoption is permitted. </w:t>
      </w:r>
    </w:p>
    <w:p>
      <w:pPr>
        <w:pStyle w:val="TextBody"/>
        <w:bidi w:val="0"/>
        <w:spacing w:lineRule="auto" w:line="288" w:before="0" w:after="120"/>
        <w:jc w:val="both"/>
        <w:rPr/>
      </w:pPr>
      <w:r>
        <w:rPr>
          <w:rFonts w:ascii="Arial;sans-serif" w:hAnsi="Arial;sans-serif"/>
          <w:b w:val="false"/>
          <w:color w:val="000000"/>
          <w:sz w:val="18"/>
          <w:u w:val="single"/>
        </w:rPr>
        <w:t xml:space="preserve">ASU 2023-09. </w:t>
      </w:r>
      <w:r>
        <w:rPr>
          <w:rFonts w:ascii="Arial;sans-serif" w:hAnsi="Arial;sans-serif"/>
          <w:b w:val="false"/>
          <w:i/>
          <w:color w:val="000000"/>
          <w:sz w:val="18"/>
          <w:u w:val="single"/>
        </w:rPr>
        <w:t>Income Taxes (Topic 740): Improvements to Income Tax Disclosures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In December 2023, the FASB issued Accounting Standards Update No. 2023-09 </w:t>
      </w:r>
      <w:r>
        <w:rPr>
          <w:rFonts w:ascii="Arial;sans-serif" w:hAnsi="Arial;sans-serif"/>
          <w:b w:val="false"/>
          <w:i/>
          <w:color w:val="000000"/>
          <w:sz w:val="18"/>
        </w:rPr>
        <w:t>Income Taxes (Topic 740): Improvements to Income Tax Disclosures</w:t>
      </w:r>
      <w:r>
        <w:rPr>
          <w:color w:val="000000"/>
        </w:rPr>
        <w:t xml:space="preserve"> </w:t>
      </w:r>
      <w:r>
        <w:rPr>
          <w:rFonts w:ascii="Arial;sans-serif" w:hAnsi="Arial;sans-serif"/>
          <w:b w:val="false"/>
          <w:color w:val="000000"/>
          <w:sz w:val="18"/>
        </w:rPr>
        <w:t xml:space="preserve">("ASU 2023-09"). ASU 2023-09 requires entities to disclose more detailed information in their reconciliation of their statutory tax rate to their effective tax rate. Public business entities (PBEs) are required to provide this incremental detail in a numerical, tabular format, while all other entities will do so through enhanced qualitative disclosures. The ASU also requires entities to disclose more detailed information about income taxes paid, including by jurisdiction; pretax income (or loss) from continuing operations; and income tax expense (or benefit). ASU 2023-09 is effective for fiscal years beginning after December 15, 2024. Early adoption is permitted. </w:t>
      </w:r>
    </w:p>
    <w:p>
      <w:pPr>
        <w:pStyle w:val="TextBody"/>
        <w:bidi w:val="0"/>
        <w:spacing w:lineRule="auto" w:line="288" w:before="0" w:after="60"/>
        <w:jc w:val="both"/>
        <w:rPr>
          <w:rFonts w:ascii="Arial;sans-serif" w:hAnsi="Arial;sans-serif"/>
          <w:b/>
          <w:i/>
          <w:color w:val="1D2758"/>
          <w:sz w:val="18"/>
          <w:shd w:fill="FFFFFF" w:val="clear"/>
        </w:rPr>
      </w:pPr>
      <w:r>
        <w:rPr>
          <w:rFonts w:ascii="Arial;sans-serif" w:hAnsi="Arial;sans-serif"/>
          <w:b/>
          <w:i/>
          <w:color w:val="1D2758"/>
          <w:sz w:val="18"/>
          <w:shd w:fill="FFFFFF" w:val="clear"/>
        </w:rPr>
        <w:t>Recently Adopted Accounting Standards</w:t>
      </w:r>
    </w:p>
    <w:p>
      <w:pPr>
        <w:pStyle w:val="TextBody"/>
        <w:bidi w:val="0"/>
        <w:spacing w:lineRule="auto" w:line="288" w:before="0" w:after="60"/>
        <w:jc w:val="both"/>
        <w:rPr/>
      </w:pPr>
      <w:r>
        <w:rPr>
          <w:rFonts w:ascii="Arial;sans-serif" w:hAnsi="Arial;sans-serif"/>
          <w:b w:val="false"/>
          <w:color w:val="000000"/>
          <w:sz w:val="18"/>
          <w:u w:val="single"/>
        </w:rPr>
        <w:t xml:space="preserve">ASU 2021-08. </w:t>
      </w:r>
      <w:r>
        <w:rPr>
          <w:rFonts w:ascii="Arial;sans-serif" w:hAnsi="Arial;sans-serif"/>
          <w:b w:val="false"/>
          <w:i/>
          <w:color w:val="000000"/>
          <w:sz w:val="18"/>
          <w:u w:val="single"/>
        </w:rPr>
        <w:t xml:space="preserve">Business Combinations (Topic 815): Accounting for Contract Assets and Contract Liabilities from Contracts with Customers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In October 2021, the FASB issued Accounting Standards Update No. 2021-08, </w:t>
      </w:r>
      <w:r>
        <w:rPr>
          <w:rFonts w:ascii="Arial;sans-serif" w:hAnsi="Arial;sans-serif"/>
          <w:b w:val="false"/>
          <w:i/>
          <w:color w:val="000000"/>
          <w:sz w:val="18"/>
        </w:rPr>
        <w:t xml:space="preserve">Business Combinations (Topic 805): Accounting for Contract Assets and Contract Liabilities from Contracts with Customers </w:t>
      </w:r>
      <w:r>
        <w:rPr>
          <w:rFonts w:ascii="Arial;sans-serif" w:hAnsi="Arial;sans-serif"/>
          <w:b w:val="false"/>
          <w:color w:val="000000"/>
          <w:sz w:val="18"/>
        </w:rPr>
        <w:t xml:space="preserve">("ASU 2021-08"). ASU 2021-08 requires that an acquirer recognize and measure contract assets and liabilities acquired in a business combination in accordance with FASB Accounting Standards Codification 606, </w:t>
      </w:r>
      <w:r>
        <w:rPr>
          <w:rFonts w:ascii="Arial;sans-serif" w:hAnsi="Arial;sans-serif"/>
          <w:b w:val="false"/>
          <w:i/>
          <w:color w:val="000000"/>
          <w:sz w:val="18"/>
        </w:rPr>
        <w:t xml:space="preserve">Revenue from Contracts with Customers </w:t>
      </w:r>
      <w:r>
        <w:rPr>
          <w:rFonts w:ascii="Arial;sans-serif" w:hAnsi="Arial;sans-serif"/>
          <w:b w:val="false"/>
          <w:color w:val="000000"/>
          <w:sz w:val="18"/>
        </w:rPr>
        <w:t>("ASC 606"). The Company adopted ASU 2021-08 on January 1, 2023 on a prospective basis. The adoption of ASU 2021-08 did not have a material impact on the Company's financial statements or related disclosures.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1D2758"/>
          <w:sz w:val="26"/>
        </w:rPr>
      </w:pPr>
      <w:r>
        <w:rPr>
          <w:rFonts w:ascii="Arial;sans-serif" w:hAnsi="Arial;sans-serif"/>
          <w:b w:val="false"/>
          <w:color w:val="1D2758"/>
          <w:sz w:val="26"/>
        </w:rPr>
        <w:t>NOTE 2 - Business Combinations and Acquisitions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Business Combinations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During the year ended December 31, 2023, the Company acquired a national provider of cold storage solutions, which consisted primarily of approximately 2,200 climate-controlled containers and refrigerated storage trailers; a regional modular space manufacturing and leasing business, which consisted primarily of approximately 1,300 modular leasing units; and a national provider of premium large clearspan structures.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81"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aggregate purchase price paid for these acquisitions and the opening balance sheet were as follows: </w:t>
      </w:r>
    </w:p>
    <w:tbl>
      <w:tblPr>
        <w:tblW w:w="6288" w:type="dxa"/>
        <w:jc w:val="left"/>
        <w:tblInd w:w="0" w:type="dxa"/>
        <w:tblLayout w:type="fixed"/>
        <w:tblCellMar>
          <w:top w:w="28" w:type="dxa"/>
          <w:left w:w="28" w:type="dxa"/>
          <w:bottom w:w="28" w:type="dxa"/>
          <w:right w:w="28" w:type="dxa"/>
        </w:tblCellMar>
      </w:tblPr>
      <w:tblGrid>
        <w:gridCol w:w="1729"/>
        <w:gridCol w:w="1519"/>
        <w:gridCol w:w="1522"/>
        <w:gridCol w:w="211"/>
        <w:gridCol w:w="826"/>
        <w:gridCol w:w="109"/>
        <w:gridCol w:w="109"/>
        <w:gridCol w:w="109"/>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Price: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used in acquisitions, net of cash acquired of $3,245</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411,593 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as follows: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receivables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Intangibles - customer relationships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identifiable net assets</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247,091 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assets acquired</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411,593 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Arial;sans-serif" w:hAnsi="Arial;sans-serif"/>
          <w:b w:val="false"/>
          <w:color w:val="000000"/>
          <w:sz w:val="16"/>
        </w:rPr>
      </w:pPr>
      <w:r>
        <w:rPr>
          <w:rFonts w:ascii="Arial;sans-serif" w:hAnsi="Arial;sans-serif"/>
          <w:b w:val="false"/>
          <w:color w:val="000000"/>
          <w:sz w:val="16"/>
        </w:rPr>
        <w:t xml:space="preserve">(a)As of the acquisition date, the fair value of accounts receivable was $8.5 million, and the gross contractual amount was $11.5 million. The Company analyzed information available at the time of acquisition in estimating uncollectible receivables and the fair value of acquired receivables. </w:t>
      </w:r>
    </w:p>
    <w:p>
      <w:pPr>
        <w:pStyle w:val="TextBody"/>
        <w:bidi w:val="0"/>
        <w:spacing w:lineRule="auto" w:line="288" w:before="0" w:after="120"/>
        <w:ind w:left="0" w:right="0" w:hanging="360"/>
        <w:jc w:val="both"/>
        <w:rPr>
          <w:rFonts w:ascii="Arial;sans-serif" w:hAnsi="Arial;sans-serif"/>
          <w:b w:val="false"/>
          <w:color w:val="000000"/>
          <w:sz w:val="16"/>
        </w:rPr>
      </w:pPr>
      <w:r>
        <w:rPr>
          <w:rFonts w:ascii="Arial;sans-serif" w:hAnsi="Arial;sans-serif"/>
          <w:b w:val="false"/>
          <w:color w:val="000000"/>
          <w:sz w:val="16"/>
        </w:rPr>
        <w:t>(b)The initial fair value assumptions used included preliminary estimates of the replacement cost of rental equipment, discount rates, royalty rates, and customer attrition rates which have been updated in preparing these valuations and the underlying assets have been adjusted from those previously recorded accordingly. Rental equipment and intangible assets were increased by approximately $12.9 million and $26.4 million from amounts previously reported, respectively.</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Goodwill recognized is attributable to expected operating synergies, assembled workforces, and the going concern value of the acquired businesses. Goodwill recorded for these acquisitions is deductible for tax purposes. Revenue and earnings from business combinations are not available, as the businesses are integrated into the Company's centralized financial and operational processes following acquisition.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Asset Acquisitions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2023, the Company acquired certain assets and liabilities of five smaller entities, which consisted primarily of approximately 1,800 storage units and 700 modular units for $150.0 million in cash. As of the acquisition dates, the fair value of rental equipment acquired was $147.6 million. </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Integration Costs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records integration costs related to business combinations, asset acquisitions and the Merger within selling, general and administrative ("SG&amp;A") expense. The Company incurred $10.4 million, $15.5 million and $28.4 million in integration costs for business combinations, asset acquisitions and the Merger for the years ended December 31, 2023, 2022 and 2021, respectively.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1D2758"/>
          <w:sz w:val="26"/>
        </w:rPr>
      </w:pPr>
      <w:r>
        <w:rPr>
          <w:rFonts w:ascii="Arial;sans-serif" w:hAnsi="Arial;sans-serif"/>
          <w:b w:val="false"/>
          <w:color w:val="1D2758"/>
          <w:sz w:val="26"/>
        </w:rPr>
        <w:t>NOTE 3 - Discontinued Operations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Tank and Pump Divestiture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September 30, 2022, the Company sold its former Tank and Pump segment for $321.9 million. Exiting the former Tank and Pump segment represented the Company’s strategic shift to concentrate its operations on its core modular and storage businesses. Results for the former Tank and Pump segment are reported in income from discontinued operations within the consolidated statements of operations for all periods presented. </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UK Storage Solutions Divestiture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January 31, 2023, the Company sold its former UK Storage Solutions segment for $418.1 million. Exiting the UK Storage Solutions segment represented the Company’s strategic shift to concentrate its operations on its core modular and storage businesses in North America. Results for the former UK Storage Solutions segment are reported in income from discontinued operations within the consolidated statements of operations for all periods presented. The carrying value of the UK Storage Solutions segment's assets and liabilities are presented within assets and liabilities held for sale on the consolidated balance sheet as of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82"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following tables present the results of the former Tank and Pump segment and the former UK Storage Solutions segment as reported in income from discontinued operations within the consolidated statements of operations, and the carrying value of the former UK Storage Solutions segment's assets and liabilities as presented within assets and liabilities held for sale on the consolidated balance sheet as of December 31, 2022. The 2022 results for the former Tank and Pump segment represent results for the nine months ended September 30, 2022 as the Company sold the former Tank and Pump segment on September 30, 2022. The 2023 results for the former UK Storage Solutions segment represent results for one month as the Company sold the former UK Storage Solutions segment on January 31, 2023. </w:t>
      </w:r>
    </w:p>
    <w:tbl>
      <w:tblPr>
        <w:tblW w:w="7485" w:type="dxa"/>
        <w:jc w:val="left"/>
        <w:tblInd w:w="0" w:type="dxa"/>
        <w:tblLayout w:type="fixed"/>
        <w:tblCellMar>
          <w:top w:w="28" w:type="dxa"/>
          <w:left w:w="28" w:type="dxa"/>
          <w:bottom w:w="28" w:type="dxa"/>
          <w:right w:w="28" w:type="dxa"/>
        </w:tblCellMar>
      </w:tblPr>
      <w:tblGrid>
        <w:gridCol w:w="1682"/>
        <w:gridCol w:w="1475"/>
        <w:gridCol w:w="1478"/>
        <w:gridCol w:w="505"/>
        <w:gridCol w:w="1977"/>
        <w:gridCol w:w="368"/>
      </w:tblGrid>
      <w:tr>
        <w:trPr/>
        <w:tc>
          <w:tcPr>
            <w:tcW w:w="168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 2023</w:t>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85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UK Storage Solutions</w:t>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5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7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6,389 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2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8,694 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2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2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2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5,544 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28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4,059 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2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Gain on sale of discontinued operations </w:t>
            </w:r>
          </w:p>
        </w:tc>
        <w:tc>
          <w:tcPr>
            <w:tcW w:w="248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175,708 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5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134,243 </w:t>
            </w:r>
          </w:p>
        </w:tc>
        <w:tc>
          <w:tcPr>
            <w:tcW w:w="36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selected data:</w:t>
            </w:r>
          </w:p>
        </w:tc>
        <w:tc>
          <w:tcPr>
            <w:tcW w:w="28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discontinued operations</w:t>
            </w:r>
          </w:p>
        </w:tc>
        <w:tc>
          <w:tcPr>
            <w:tcW w:w="5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7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4,124 </w:t>
            </w:r>
          </w:p>
        </w:tc>
        <w:tc>
          <w:tcPr>
            <w:tcW w:w="36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In January 2023, a $0.4 million adjustment was made to the gain on sale of the former Tank and Pump segment due to the final contractual working capital adjustment. Including this adjustment, the total gain on sale of discontinued operations was $176.1 million for the year ended December 31, 2023</w:t>
      </w:r>
      <w:r>
        <w:rPr>
          <w:rFonts w:ascii="Arial;sans-serif" w:hAnsi="Arial;sans-serif"/>
          <w:b w:val="false"/>
          <w:color w:val="000000"/>
          <w:sz w:val="18"/>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83"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78</w:t>
                      </w:r>
                    </w:p>
                  </w:txbxContent>
                </v:textbox>
                <w10:wrap type="none"/>
              </v:rect>
            </w:pict>
          </mc:Fallback>
        </mc:AlternateContent>
      </w:r>
    </w:p>
    <w:p>
      <w:pPr>
        <w:pStyle w:val="TextBody"/>
        <w:bidi w:val="0"/>
        <w:spacing w:before="0" w:after="60"/>
        <w:jc w:val="left"/>
        <w:rPr/>
      </w:pPr>
      <w:r>
        <w:rPr/>
      </w:r>
    </w:p>
    <w:tbl>
      <w:tblPr>
        <w:tblW w:w="9839" w:type="dxa"/>
        <w:jc w:val="left"/>
        <w:tblInd w:w="0" w:type="dxa"/>
        <w:tblLayout w:type="fixed"/>
        <w:tblCellMar>
          <w:top w:w="28" w:type="dxa"/>
          <w:left w:w="28" w:type="dxa"/>
          <w:bottom w:w="28" w:type="dxa"/>
          <w:right w:w="28" w:type="dxa"/>
        </w:tblCellMar>
      </w:tblPr>
      <w:tblGrid>
        <w:gridCol w:w="1682"/>
        <w:gridCol w:w="1475"/>
        <w:gridCol w:w="1478"/>
        <w:gridCol w:w="289"/>
        <w:gridCol w:w="987"/>
        <w:gridCol w:w="149"/>
        <w:gridCol w:w="109"/>
        <w:gridCol w:w="109"/>
        <w:gridCol w:w="109"/>
        <w:gridCol w:w="392"/>
        <w:gridCol w:w="1340"/>
        <w:gridCol w:w="202"/>
        <w:gridCol w:w="109"/>
        <w:gridCol w:w="109"/>
        <w:gridCol w:w="109"/>
        <w:gridCol w:w="211"/>
        <w:gridCol w:w="826"/>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 2022</w:t>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42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Tank and Pump</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UK Storage Solutions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8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65,572 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79,772 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145,344 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22,876 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96,356 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105,209 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13,828 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16,737 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30,565 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2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49,152 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67,601 </w:t>
            </w:r>
          </w:p>
        </w:tc>
        <w:tc>
          <w:tcPr>
            <w:tcW w:w="2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116,753 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18,045 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21,795 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2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39,769 </w:t>
            </w:r>
          </w:p>
        </w:tc>
        <w:tc>
          <w:tcPr>
            <w:tcW w:w="2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64,769 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12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24,488 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38,980 </w:t>
            </w:r>
          </w:p>
        </w:tc>
        <w:tc>
          <w:tcPr>
            <w:tcW w:w="2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63,468 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35,456 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59,101 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4,098 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selected data:</w:t>
            </w:r>
          </w:p>
        </w:tc>
        <w:tc>
          <w:tcPr>
            <w:tcW w:w="142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discontinued operations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37,016 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48,734 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84"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79</w:t>
                      </w:r>
                    </w:p>
                  </w:txbxContent>
                </v:textbox>
                <w10:wrap type="none"/>
              </v:rect>
            </w:pict>
          </mc:Fallback>
        </mc:AlternateContent>
      </w:r>
    </w:p>
    <w:p>
      <w:pPr>
        <w:pStyle w:val="TextBody"/>
        <w:bidi w:val="0"/>
        <w:spacing w:before="0" w:after="60"/>
        <w:jc w:val="left"/>
        <w:rPr/>
      </w:pPr>
      <w:r>
        <w:rPr/>
      </w:r>
    </w:p>
    <w:tbl>
      <w:tblPr>
        <w:tblW w:w="9839" w:type="dxa"/>
        <w:jc w:val="left"/>
        <w:tblInd w:w="0" w:type="dxa"/>
        <w:tblLayout w:type="fixed"/>
        <w:tblCellMar>
          <w:top w:w="28" w:type="dxa"/>
          <w:left w:w="28" w:type="dxa"/>
          <w:bottom w:w="28" w:type="dxa"/>
          <w:right w:w="28" w:type="dxa"/>
        </w:tblCellMar>
      </w:tblPr>
      <w:tblGrid>
        <w:gridCol w:w="1682"/>
        <w:gridCol w:w="1475"/>
        <w:gridCol w:w="1478"/>
        <w:gridCol w:w="289"/>
        <w:gridCol w:w="987"/>
        <w:gridCol w:w="149"/>
        <w:gridCol w:w="109"/>
        <w:gridCol w:w="109"/>
        <w:gridCol w:w="109"/>
        <w:gridCol w:w="392"/>
        <w:gridCol w:w="1340"/>
        <w:gridCol w:w="202"/>
        <w:gridCol w:w="109"/>
        <w:gridCol w:w="109"/>
        <w:gridCol w:w="109"/>
        <w:gridCol w:w="211"/>
        <w:gridCol w:w="826"/>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 2021</w:t>
            </w:r>
          </w:p>
        </w:tc>
      </w:tr>
      <w:tr>
        <w:trPr/>
        <w:tc>
          <w:tcPr>
            <w:tcW w:w="46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42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Tank and Pump</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UK Storage Solutions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8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77,527 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82,106 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159,633 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1,479 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110,891 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111,026 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leasing and services: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17,045 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17,440 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of sales:</w:t>
            </w:r>
          </w:p>
        </w:tc>
        <w:tc>
          <w:tcPr>
            <w:tcW w:w="14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14,319 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127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52,262 </w:t>
            </w:r>
          </w:p>
        </w:tc>
        <w:tc>
          <w:tcPr>
            <w:tcW w:w="14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71,243 </w:t>
            </w:r>
          </w:p>
        </w:tc>
        <w:tc>
          <w:tcPr>
            <w:tcW w:w="20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123,505 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22,194 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24,974 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47,168 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depreciation and amortization</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gains, net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net</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39,207 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w:t>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27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5,277 </w:t>
            </w:r>
          </w:p>
        </w:tc>
        <w:tc>
          <w:tcPr>
            <w:tcW w:w="14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7,741 </w:t>
            </w:r>
          </w:p>
        </w:tc>
        <w:tc>
          <w:tcPr>
            <w:tcW w:w="20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30,616 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selected data:</w:t>
            </w:r>
          </w:p>
        </w:tc>
        <w:tc>
          <w:tcPr>
            <w:tcW w:w="142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discontinued operations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85"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80</w:t>
                      </w:r>
                    </w:p>
                  </w:txbxContent>
                </v:textbox>
                <w10:wrap type="none"/>
              </v:rect>
            </w:pict>
          </mc:Fallback>
        </mc:AlternateContent>
      </w:r>
    </w:p>
    <w:p>
      <w:pPr>
        <w:pStyle w:val="TextBody"/>
        <w:bidi w:val="0"/>
        <w:spacing w:before="0" w:after="60"/>
        <w:jc w:val="left"/>
        <w:rPr/>
      </w:pPr>
      <w:r>
        <w:rPr/>
      </w:r>
    </w:p>
    <w:tbl>
      <w:tblPr>
        <w:tblW w:w="7810" w:type="dxa"/>
        <w:jc w:val="left"/>
        <w:tblInd w:w="0" w:type="dxa"/>
        <w:tblLayout w:type="fixed"/>
        <w:tblCellMar>
          <w:top w:w="28" w:type="dxa"/>
          <w:left w:w="28" w:type="dxa"/>
          <w:bottom w:w="28" w:type="dxa"/>
          <w:right w:w="28" w:type="dxa"/>
        </w:tblCellMar>
      </w:tblPr>
      <w:tblGrid>
        <w:gridCol w:w="1995"/>
        <w:gridCol w:w="1752"/>
        <w:gridCol w:w="1757"/>
        <w:gridCol w:w="109"/>
        <w:gridCol w:w="109"/>
        <w:gridCol w:w="109"/>
        <w:gridCol w:w="350"/>
        <w:gridCol w:w="1374"/>
        <w:gridCol w:w="255"/>
      </w:tblGrid>
      <w:tr>
        <w:trPr/>
        <w:tc>
          <w:tcPr>
            <w:tcW w:w="1995"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2022</w:t>
            </w:r>
          </w:p>
        </w:tc>
      </w:tr>
      <w:tr>
        <w:trPr/>
        <w:tc>
          <w:tcPr>
            <w:tcW w:w="550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UK Storage Solutions</w:t>
            </w:r>
          </w:p>
        </w:tc>
      </w:tr>
      <w:tr>
        <w:trPr/>
        <w:tc>
          <w:tcPr>
            <w:tcW w:w="5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Trade receivables, net of allowances for doubtful accounts of $300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15,991 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1,787 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165,853 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20,645 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58,144 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299,242 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3,273 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 and customer deposits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6,850 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29,737 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15,192 </w:t>
            </w:r>
          </w:p>
        </w:tc>
        <w:tc>
          <w:tcPr>
            <w:tcW w:w="2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held for sale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7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66,854 </w:t>
            </w:r>
          </w:p>
        </w:tc>
        <w:tc>
          <w:tcPr>
            <w:tcW w:w="2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For the </w:t>
      </w:r>
      <w:r>
        <w:rPr>
          <w:rFonts w:ascii="Arial;sans-serif" w:hAnsi="Arial;sans-serif"/>
          <w:b w:val="false"/>
          <w:color w:val="000000"/>
          <w:sz w:val="18"/>
          <w:shd w:fill="FFFFFF" w:val="clear"/>
        </w:rPr>
        <w:t>years ended December 31, 2022 and 2021</w:t>
      </w:r>
      <w:r>
        <w:rPr>
          <w:rFonts w:ascii="Arial;sans-serif" w:hAnsi="Arial;sans-serif"/>
          <w:b w:val="false"/>
          <w:color w:val="000000"/>
          <w:sz w:val="18"/>
        </w:rPr>
        <w:t xml:space="preserve">, significant operating and investing items related to the former Tank and Pump segment were as follows: </w:t>
      </w:r>
    </w:p>
    <w:tbl>
      <w:tblPr>
        <w:tblW w:w="6984" w:type="dxa"/>
        <w:jc w:val="left"/>
        <w:tblInd w:w="0" w:type="dxa"/>
        <w:tblLayout w:type="fixed"/>
        <w:tblCellMar>
          <w:top w:w="28" w:type="dxa"/>
          <w:left w:w="28" w:type="dxa"/>
          <w:bottom w:w="28" w:type="dxa"/>
          <w:right w:w="28" w:type="dxa"/>
        </w:tblCellMar>
      </w:tblPr>
      <w:tblGrid>
        <w:gridCol w:w="1588"/>
        <w:gridCol w:w="1394"/>
        <w:gridCol w:w="1398"/>
        <w:gridCol w:w="211"/>
        <w:gridCol w:w="796"/>
        <w:gridCol w:w="109"/>
        <w:gridCol w:w="109"/>
        <w:gridCol w:w="109"/>
        <w:gridCol w:w="109"/>
        <w:gridCol w:w="211"/>
        <w:gridCol w:w="796"/>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4380" w:type="dxa"/>
            <w:gridSpan w:val="3"/>
            <w:tcBorders/>
            <w:shd w:fill="1D2758" w:val="clear"/>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i/>
                <w:color w:val="FFFFFF"/>
                <w:sz w:val="18"/>
              </w:rPr>
            </w:pPr>
            <w:r>
              <w:rPr>
                <w:rFonts w:ascii="Arial;sans-serif" w:hAnsi="Arial;sans-serif"/>
                <w:b/>
                <w:i/>
                <w:color w:val="FFFFFF"/>
                <w:sz w:val="18"/>
              </w:rPr>
              <w:t>(in thousands)</w:t>
            </w:r>
          </w:p>
        </w:tc>
        <w:tc>
          <w:tcPr>
            <w:tcW w:w="11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 of discontinued operations:</w:t>
            </w:r>
          </w:p>
        </w:tc>
        <w:tc>
          <w:tcPr>
            <w:tcW w:w="11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 of discontinued operations:</w:t>
            </w:r>
          </w:p>
        </w:tc>
        <w:tc>
          <w:tcPr>
            <w:tcW w:w="11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rental equipment and refurbishments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86"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following table presents reconciliations of Income from discontinued operations before income tax to Adjusted EBITDA from discontinued operations for the former Tank and Pump segment for the </w:t>
      </w:r>
      <w:r>
        <w:rPr>
          <w:rFonts w:ascii="Arial;sans-serif" w:hAnsi="Arial;sans-serif"/>
          <w:b w:val="false"/>
          <w:color w:val="000000"/>
          <w:sz w:val="18"/>
          <w:shd w:fill="FFFFFF" w:val="clear"/>
        </w:rPr>
        <w:t>years ended December 31, 2022 and 2021</w:t>
      </w:r>
      <w:r>
        <w:rPr>
          <w:rFonts w:ascii="Arial;sans-serif" w:hAnsi="Arial;sans-serif"/>
          <w:b w:val="false"/>
          <w:color w:val="000000"/>
          <w:sz w:val="18"/>
        </w:rPr>
        <w:t xml:space="preserve">, respectively. See Note 18 for further information regarding Adjusted EBITDA. </w:t>
      </w:r>
    </w:p>
    <w:tbl>
      <w:tblPr>
        <w:tblW w:w="8561" w:type="dxa"/>
        <w:jc w:val="left"/>
        <w:tblInd w:w="0" w:type="dxa"/>
        <w:tblLayout w:type="fixed"/>
        <w:tblCellMar>
          <w:top w:w="28" w:type="dxa"/>
          <w:left w:w="28" w:type="dxa"/>
          <w:bottom w:w="28" w:type="dxa"/>
          <w:right w:w="28" w:type="dxa"/>
        </w:tblCellMar>
      </w:tblPr>
      <w:tblGrid>
        <w:gridCol w:w="2202"/>
        <w:gridCol w:w="1935"/>
        <w:gridCol w:w="1938"/>
        <w:gridCol w:w="214"/>
        <w:gridCol w:w="731"/>
        <w:gridCol w:w="110"/>
        <w:gridCol w:w="110"/>
        <w:gridCol w:w="110"/>
        <w:gridCol w:w="110"/>
        <w:gridCol w:w="214"/>
        <w:gridCol w:w="731"/>
        <w:gridCol w:w="156"/>
      </w:tblGrid>
      <w:tr>
        <w:trPr/>
        <w:tc>
          <w:tcPr>
            <w:tcW w:w="2202"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607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5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3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21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59,101 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14,633 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5,277 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 and gain on sale</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24,488 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w:t>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costs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discontinued operations</w:t>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37,016 </w:t>
            </w:r>
          </w:p>
        </w:tc>
        <w:tc>
          <w:tcPr>
            <w:tcW w:w="11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41,750 </w:t>
            </w:r>
          </w:p>
        </w:tc>
        <w:tc>
          <w:tcPr>
            <w:tcW w:w="1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For the </w:t>
      </w:r>
      <w:r>
        <w:rPr>
          <w:rFonts w:ascii="Arial;sans-serif" w:hAnsi="Arial;sans-serif"/>
          <w:b w:val="false"/>
          <w:color w:val="000000"/>
          <w:sz w:val="18"/>
          <w:shd w:fill="FFFFFF" w:val="clear"/>
        </w:rPr>
        <w:t>years ended December 31, 2023, 2022 and 2021</w:t>
      </w:r>
      <w:r>
        <w:rPr>
          <w:rFonts w:ascii="Arial;sans-serif" w:hAnsi="Arial;sans-serif"/>
          <w:b w:val="false"/>
          <w:color w:val="000000"/>
          <w:sz w:val="18"/>
        </w:rPr>
        <w:t xml:space="preserve">, significant operating and investing items related to the UK Storage Solutions segment were as follows: </w:t>
      </w:r>
    </w:p>
    <w:tbl>
      <w:tblPr>
        <w:tblW w:w="8172" w:type="dxa"/>
        <w:jc w:val="left"/>
        <w:tblInd w:w="0" w:type="dxa"/>
        <w:tblLayout w:type="fixed"/>
        <w:tblCellMar>
          <w:top w:w="28" w:type="dxa"/>
          <w:left w:w="28" w:type="dxa"/>
          <w:bottom w:w="28" w:type="dxa"/>
          <w:right w:w="28" w:type="dxa"/>
        </w:tblCellMar>
      </w:tblPr>
      <w:tblGrid>
        <w:gridCol w:w="1588"/>
        <w:gridCol w:w="1394"/>
        <w:gridCol w:w="1398"/>
        <w:gridCol w:w="211"/>
        <w:gridCol w:w="541"/>
        <w:gridCol w:w="109"/>
        <w:gridCol w:w="109"/>
        <w:gridCol w:w="109"/>
        <w:gridCol w:w="109"/>
        <w:gridCol w:w="211"/>
        <w:gridCol w:w="796"/>
        <w:gridCol w:w="109"/>
        <w:gridCol w:w="109"/>
        <w:gridCol w:w="109"/>
        <w:gridCol w:w="109"/>
        <w:gridCol w:w="211"/>
        <w:gridCol w:w="796"/>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4380" w:type="dxa"/>
            <w:gridSpan w:val="3"/>
            <w:tcBorders/>
            <w:shd w:fill="1D2758" w:val="clear"/>
            <w:tcMar>
              <w:top w:w="0" w:type="dxa"/>
              <w:left w:w="0" w:type="dxa"/>
              <w:bottom w:w="0" w:type="dxa"/>
              <w:right w:w="0" w:type="dxa"/>
            </w:tcMar>
            <w:vAlign w:val="center"/>
          </w:tcPr>
          <w:p>
            <w:pPr>
              <w:pStyle w:val="TableContents"/>
              <w:bidi w:val="0"/>
              <w:spacing w:lineRule="auto" w:line="240" w:before="0" w:after="200"/>
              <w:jc w:val="left"/>
              <w:rPr>
                <w:rFonts w:ascii="Arial;sans-serif" w:hAnsi="Arial;sans-serif"/>
                <w:b/>
                <w:i/>
                <w:color w:val="FFFFFF"/>
                <w:sz w:val="18"/>
              </w:rPr>
            </w:pPr>
            <w:r>
              <w:rPr>
                <w:rFonts w:ascii="Arial;sans-serif" w:hAnsi="Arial;sans-serif"/>
                <w:b/>
                <w:i/>
                <w:color w:val="FFFFFF"/>
                <w:sz w:val="18"/>
              </w:rPr>
              <w:t>(in thousands)</w:t>
            </w:r>
          </w:p>
        </w:tc>
        <w:tc>
          <w:tcPr>
            <w:tcW w:w="86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activities of discontinued operations:</w:t>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Investing activities of discontinued operations:</w:t>
            </w:r>
          </w:p>
        </w:tc>
        <w:tc>
          <w:tcPr>
            <w:tcW w:w="8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rental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rental equipment and refurbishments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(27,830)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The following table presents reconciliations of Income from discontinued operations before income tax to Adjusted EBITDA from discontinued operations for the UK Storage Solutions segment for the </w:t>
      </w:r>
      <w:r>
        <w:rPr>
          <w:rFonts w:ascii="Arial;sans-serif" w:hAnsi="Arial;sans-serif"/>
          <w:b w:val="false"/>
          <w:color w:val="000000"/>
          <w:sz w:val="18"/>
          <w:shd w:fill="FFFFFF" w:val="clear"/>
        </w:rPr>
        <w:t>years ended December 31, 2023, 2022 and 2021</w:t>
      </w:r>
      <w:r>
        <w:rPr>
          <w:rFonts w:ascii="Arial;sans-serif" w:hAnsi="Arial;sans-serif"/>
          <w:b w:val="false"/>
          <w:color w:val="000000"/>
          <w:sz w:val="18"/>
        </w:rPr>
        <w:t xml:space="preserve">, respectively. See Note 18 for further information regarding Adjusted EBITDA. </w:t>
      </w:r>
    </w:p>
    <w:tbl>
      <w:tblPr>
        <w:tblW w:w="9971" w:type="dxa"/>
        <w:jc w:val="left"/>
        <w:tblInd w:w="0" w:type="dxa"/>
        <w:tblLayout w:type="fixed"/>
        <w:tblCellMar>
          <w:top w:w="28" w:type="dxa"/>
          <w:left w:w="28" w:type="dxa"/>
          <w:bottom w:w="28" w:type="dxa"/>
          <w:right w:w="28" w:type="dxa"/>
        </w:tblCellMar>
      </w:tblPr>
      <w:tblGrid>
        <w:gridCol w:w="2191"/>
        <w:gridCol w:w="1925"/>
        <w:gridCol w:w="1928"/>
        <w:gridCol w:w="211"/>
        <w:gridCol w:w="826"/>
        <w:gridCol w:w="109"/>
        <w:gridCol w:w="109"/>
        <w:gridCol w:w="109"/>
        <w:gridCol w:w="109"/>
        <w:gridCol w:w="211"/>
        <w:gridCol w:w="721"/>
        <w:gridCol w:w="109"/>
        <w:gridCol w:w="109"/>
        <w:gridCol w:w="109"/>
        <w:gridCol w:w="109"/>
        <w:gridCol w:w="211"/>
        <w:gridCol w:w="721"/>
        <w:gridCol w:w="154"/>
      </w:tblGrid>
      <w:tr>
        <w:trPr/>
        <w:tc>
          <w:tcPr>
            <w:tcW w:w="2191"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604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6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discontinued operations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34,882 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 before income tax and gain on sale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discontinued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87"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NOTE 4 - Revenue</w: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Revenue Disaggregation</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Geographic Areas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had total revenue in the following geographic areas for the years ended December 31, as follows:</w:t>
      </w:r>
    </w:p>
    <w:tbl>
      <w:tblPr>
        <w:tblW w:w="5922" w:type="dxa"/>
        <w:jc w:val="left"/>
        <w:tblInd w:w="0" w:type="dxa"/>
        <w:tblLayout w:type="fixed"/>
        <w:tblCellMar>
          <w:top w:w="28" w:type="dxa"/>
          <w:left w:w="28" w:type="dxa"/>
          <w:bottom w:w="28" w:type="dxa"/>
          <w:right w:w="28" w:type="dxa"/>
        </w:tblCellMar>
      </w:tblPr>
      <w:tblGrid>
        <w:gridCol w:w="484"/>
        <w:gridCol w:w="425"/>
        <w:gridCol w:w="426"/>
        <w:gridCol w:w="211"/>
        <w:gridCol w:w="976"/>
        <w:gridCol w:w="109"/>
        <w:gridCol w:w="109"/>
        <w:gridCol w:w="109"/>
        <w:gridCol w:w="109"/>
        <w:gridCol w:w="211"/>
        <w:gridCol w:w="976"/>
        <w:gridCol w:w="109"/>
        <w:gridCol w:w="109"/>
        <w:gridCol w:w="109"/>
        <w:gridCol w:w="109"/>
        <w:gridCol w:w="211"/>
        <w:gridCol w:w="97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2,219,561 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1,998,796 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1,542,076 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1,672,980 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Major Product and Service Lines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Equipment leasing is the Company's core business and the primary driver of the Company's revenue and cash flows. This includes turnkey temporary modular space and portable storage units along with VAPS, which include furniture, steps, ramps, basic appliances, internet connectivity devices, integral tool racking, heavy duty capacity shelving, workstations, electrical and lighting products and other items used by customers in connection with the Company's products. The Company also offers its lease customers a damage waiver program that protects them in case the leased unit is damaged. Leasing is complemented by new unit sales and sales of rental units. In connection with its leasing and sales activities, the Company provides services including delivery and installation, maintenance and ad hoc services and removal services at the end of lease transactions. The Company’s revenue by major product and service line for the years ended December 31, was as follows:</w:t>
      </w:r>
    </w:p>
    <w:tbl>
      <w:tblPr>
        <w:tblW w:w="8006" w:type="dxa"/>
        <w:jc w:val="left"/>
        <w:tblInd w:w="0" w:type="dxa"/>
        <w:tblLayout w:type="fixed"/>
        <w:tblCellMar>
          <w:top w:w="28" w:type="dxa"/>
          <w:left w:w="28" w:type="dxa"/>
          <w:bottom w:w="28" w:type="dxa"/>
          <w:right w:w="28" w:type="dxa"/>
        </w:tblCellMar>
      </w:tblPr>
      <w:tblGrid>
        <w:gridCol w:w="1240"/>
        <w:gridCol w:w="1088"/>
        <w:gridCol w:w="1091"/>
        <w:gridCol w:w="211"/>
        <w:gridCol w:w="976"/>
        <w:gridCol w:w="109"/>
        <w:gridCol w:w="109"/>
        <w:gridCol w:w="109"/>
        <w:gridCol w:w="109"/>
        <w:gridCol w:w="211"/>
        <w:gridCol w:w="976"/>
        <w:gridCol w:w="109"/>
        <w:gridCol w:w="109"/>
        <w:gridCol w:w="109"/>
        <w:gridCol w:w="109"/>
        <w:gridCol w:w="211"/>
        <w:gridCol w:w="976"/>
        <w:gridCol w:w="154"/>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341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leasing revenue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953,822 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840,926 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697,852 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leasing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VAPS and third party leasing revenues</w:t>
            </w:r>
            <w:r>
              <w:rPr>
                <w:rFonts w:ascii="Arial;sans-serif" w:hAnsi="Arial;sans-serif"/>
                <w:b w:val="false"/>
                <w:color w:val="000000"/>
                <w:sz w:val="12"/>
              </w:rPr>
              <w:t>(a)</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391,948 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343,625 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263,021 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leasing-related revenue</w:t>
            </w:r>
            <w:r>
              <w:rPr>
                <w:rFonts w:ascii="Arial;sans-serif" w:hAnsi="Arial;sans-serif"/>
                <w:b w:val="false"/>
                <w:color w:val="000000"/>
                <w:sz w:val="12"/>
              </w:rPr>
              <w:t>(b)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revenue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1,833,935 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1,621,690 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1,252,490 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leasing and services revenue</w:t>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2,271,114 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2,050,842 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1,573,619 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 sales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 sales revenue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51,443 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52,368 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1,672,980 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ial;sans-serif" w:hAnsi="Arial;sans-serif"/>
          <w:b w:val="false"/>
          <w:color w:val="000000"/>
          <w:sz w:val="16"/>
        </w:rPr>
        <w:t xml:space="preserve">(a) </w:t>
      </w:r>
      <w:r>
        <w:rPr>
          <w:rFonts w:ascii="Arial;sans-serif" w:hAnsi="Arial;sans-serif"/>
          <w:b w:val="false"/>
          <w:color w:val="000000"/>
          <w:sz w:val="16"/>
          <w:shd w:fill="FFFFFF" w:val="clear"/>
        </w:rPr>
        <w:t>Incl</w:t>
      </w:r>
      <w:r>
        <w:rPr>
          <w:rFonts w:ascii="Arial;sans-serif" w:hAnsi="Arial;sans-serif"/>
          <w:b w:val="false"/>
          <w:color w:val="000000"/>
          <w:sz w:val="16"/>
        </w:rPr>
        <w:t>udes $23.9 million, $25.3 million, and $17.1 million of VAPS service revenue for the years ended December 31, 2023, 2022 and 2021, respectively.</w:t>
      </w:r>
    </w:p>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(b) Includes primarily damage billings, delinquent payment charges, and other processing fees.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Leasing and Services Revenue</w:t>
      </w:r>
    </w:p>
    <w:p>
      <w:pPr>
        <w:pStyle w:val="TextBody"/>
        <w:bidi w:val="0"/>
        <w:spacing w:lineRule="auto" w:line="288" w:before="0" w:after="60"/>
        <w:ind w:left="0" w:right="0" w:firstLine="720"/>
        <w:jc w:val="both"/>
        <w:rPr/>
      </w:pPr>
      <w:r>
        <w:rPr>
          <w:rFonts w:ascii="Arial;sans-serif" w:hAnsi="Arial;sans-serif"/>
          <w:b w:val="false"/>
          <w:color w:val="000000"/>
          <w:sz w:val="18"/>
        </w:rPr>
        <w:t>The majority of revenue (77%, 75%</w:t>
      </w:r>
      <w:r>
        <w:rPr>
          <w:rFonts w:ascii="Arial;sans-serif" w:hAnsi="Arial;sans-serif"/>
          <w:b w:val="false"/>
          <w:color w:val="000000"/>
          <w:sz w:val="18"/>
          <w:shd w:fill="FFFFFF" w:val="clear"/>
        </w:rPr>
        <w:t>, and 74% for the years ended December 31, 2023, 2022 and 2021, respectively) is generated by lease income subject to the guidance of ASC 842. The remaining revenue is generated by performance obligations in contracts with customers for services or sale of units subject to the guidance in ASC 606.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88"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At December 31, 2023 and for the years ended December 31, 2024 through 2028 and thereafter, future committed leasing revenues under non-cancelable operating leases with the Company’s customers, excluding revenue from delivery and installation and potential lease extensions, were as follows:</w:t>
      </w:r>
    </w:p>
    <w:tbl>
      <w:tblPr>
        <w:tblW w:w="3000" w:type="dxa"/>
        <w:jc w:val="left"/>
        <w:tblInd w:w="0" w:type="dxa"/>
        <w:tblLayout w:type="fixed"/>
        <w:tblCellMar>
          <w:top w:w="28" w:type="dxa"/>
          <w:left w:w="28" w:type="dxa"/>
          <w:bottom w:w="28" w:type="dxa"/>
          <w:right w:w="28" w:type="dxa"/>
        </w:tblCellMar>
      </w:tblPr>
      <w:tblGrid>
        <w:gridCol w:w="484"/>
        <w:gridCol w:w="425"/>
        <w:gridCol w:w="426"/>
        <w:gridCol w:w="295"/>
        <w:gridCol w:w="1155"/>
        <w:gridCol w:w="215"/>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66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Operating Leases</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2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367,965 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129,048 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4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42,698 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17,988 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45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7,887 </w:t>
            </w:r>
          </w:p>
        </w:tc>
        <w:tc>
          <w:tcPr>
            <w:tcW w:w="21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9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570,985 </w:t>
            </w:r>
          </w:p>
        </w:tc>
        <w:tc>
          <w:tcPr>
            <w:tcW w:w="21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0"/>
          <w:shd w:fill="FFFFFF" w:val="clear"/>
        </w:rPr>
      </w:pPr>
      <w:r>
        <w:rPr>
          <w:rFonts w:ascii="Arial;sans-serif" w:hAnsi="Arial;sans-serif"/>
          <w:b/>
          <w:color w:val="000000"/>
          <w:sz w:val="20"/>
          <w:shd w:fill="FFFFFF" w:val="clear"/>
        </w:rPr>
        <w:t xml:space="preserve">Receivables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manages credit risk associated with its accounts receivables at the customer level. Because the same customers generate the revenues that are accounted for under both ASC 606 and ASC 842, the discussions below on credit risk and the Company's allowance for credit losses address the Company's total revenues.</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Concentration of credit risk with respect to the Company's receivables is limited because of a large number of geographically diverse customers who operate in a variety of end user markets. </w:t>
      </w:r>
      <w:r>
        <w:rPr>
          <w:rFonts w:ascii="Arial;sans-serif" w:hAnsi="Arial;sans-serif"/>
          <w:b w:val="false"/>
          <w:color w:val="000000"/>
          <w:sz w:val="18"/>
        </w:rPr>
        <w:t>No single customer accounted</w:t>
      </w:r>
      <w:r>
        <w:rPr>
          <w:color w:val="000000"/>
          <w:shd w:fill="FFFFFF" w:val="clear"/>
        </w:rPr>
        <w:t xml:space="preserve"> </w:t>
      </w:r>
      <w:r>
        <w:rPr>
          <w:rFonts w:ascii="Arial;sans-serif" w:hAnsi="Arial;sans-serif"/>
          <w:b w:val="false"/>
          <w:color w:val="000000"/>
          <w:sz w:val="18"/>
          <w:shd w:fill="FFFFFF" w:val="clear"/>
        </w:rPr>
        <w:t xml:space="preserve">for more </w:t>
      </w:r>
      <w:r>
        <w:rPr>
          <w:rFonts w:ascii="Arial;sans-serif" w:hAnsi="Arial;sans-serif"/>
          <w:b w:val="false"/>
          <w:color w:val="000000"/>
          <w:sz w:val="18"/>
        </w:rPr>
        <w:t>than 1.0% and 1.7% of the Company’s receivables at December 31, 2023 and 2022, respectively. The Company's top five customers with the largest open receivables balances represented 4.3% and 5.4%</w:t>
      </w:r>
      <w:r>
        <w:rPr>
          <w:color w:val="000000"/>
          <w:shd w:fill="FFFFFF" w:val="clear"/>
        </w:rPr>
        <w:t xml:space="preserve"> </w:t>
      </w:r>
      <w:r>
        <w:rPr>
          <w:rFonts w:ascii="Arial;sans-serif" w:hAnsi="Arial;sans-serif"/>
          <w:b w:val="false"/>
          <w:color w:val="000000"/>
          <w:sz w:val="18"/>
          <w:shd w:fill="FFFFFF" w:val="clear"/>
        </w:rPr>
        <w:t>of the total receivables balance as of December 31, 2023 and 2022, respectively. The Company manages credit risk through credit approvals, credit limits, and other monitoring procedures.</w:t>
      </w:r>
    </w:p>
    <w:p>
      <w:pPr>
        <w:pStyle w:val="TextBody"/>
        <w:bidi w:val="0"/>
        <w:spacing w:lineRule="auto" w:line="288" w:before="0" w:after="120"/>
        <w:ind w:left="0" w:right="0" w:firstLine="720"/>
        <w:jc w:val="both"/>
        <w:rPr/>
      </w:pPr>
      <w:r>
        <w:rPr>
          <w:rFonts w:ascii="Arial;sans-serif" w:hAnsi="Arial;sans-serif"/>
          <w:b w:val="false"/>
          <w:color w:val="000000"/>
          <w:sz w:val="18"/>
          <w:shd w:fill="FFFFFF" w:val="clear"/>
        </w:rPr>
        <w:t>The Company's allowance for credit losses reflects its estimate of the amount of receivables that it will be unable to collect</w:t>
      </w:r>
      <w:r>
        <w:rPr>
          <w:rFonts w:ascii="Arial;sans-serif" w:hAnsi="Arial;sans-serif"/>
          <w:b w:val="false"/>
          <w:color w:val="000000"/>
          <w:sz w:val="18"/>
        </w:rPr>
        <w:t>. The estimated losses are calculated using the loss rate method based upon a review of outstanding receivables, related aging, and historical collection experience. T</w:t>
      </w:r>
      <w:r>
        <w:rPr>
          <w:rFonts w:ascii="Arial;sans-serif" w:hAnsi="Arial;sans-serif"/>
          <w:b w:val="false"/>
          <w:color w:val="000000"/>
          <w:sz w:val="18"/>
          <w:shd w:fill="FFFFFF" w:val="clear"/>
        </w:rPr>
        <w:t xml:space="preserve">he Company's estimates reflect changing circumstances, and the Company may be required to increase or decrease its allowance. During the years ended December 31, 2023, 2022 and 2021, the Company recognized bad debt </w:t>
      </w:r>
      <w:r>
        <w:rPr>
          <w:rFonts w:ascii="Arial;sans-serif" w:hAnsi="Arial;sans-serif"/>
          <w:b w:val="false"/>
          <w:color w:val="000000"/>
          <w:sz w:val="18"/>
        </w:rPr>
        <w:t>expense to reflect changes in the allowance for credit losses of $23.4 million, $10.4 million, and $16.4 million, respectively, within SG&amp;A expense in its consolidated statements of operations. For the years ended December 31, 2023, 2022 and 2021, the provision for credit losses included $25.2 million, $23.7 million and $19.8 million, respectively, recorded as a reduction to revenue for the provision of specific receivables whose collection was not considered probable.</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Contract Assets and Liabilities</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As of December 31, 2023 and 2022, the Company had approximately $124.1 million and $102.2 million, respectively, of deferred revenue related to services billed in advance. During the </w:t>
      </w:r>
      <w:r>
        <w:rPr>
          <w:rFonts w:ascii="Arial;sans-serif" w:hAnsi="Arial;sans-serif"/>
          <w:b w:val="false"/>
          <w:color w:val="000000"/>
          <w:sz w:val="18"/>
          <w:shd w:fill="FFFFFF" w:val="clear"/>
        </w:rPr>
        <w:t>years ended December 31, 2023, 2022 and 2021,</w:t>
      </w:r>
      <w:r>
        <w:rPr>
          <w:color w:val="000000"/>
        </w:rPr>
        <w:t xml:space="preserve"> </w:t>
      </w:r>
      <w:r>
        <w:rPr>
          <w:rFonts w:ascii="Arial;sans-serif" w:hAnsi="Arial;sans-serif"/>
          <w:b w:val="false"/>
          <w:color w:val="000000"/>
          <w:sz w:val="18"/>
        </w:rPr>
        <w:t xml:space="preserve">$67.6 million, $47.2 million and $38.8 million, </w:t>
      </w:r>
      <w:r>
        <w:rPr>
          <w:rFonts w:ascii="Arial;sans-serif" w:hAnsi="Arial;sans-serif"/>
          <w:b w:val="false"/>
          <w:color w:val="000000"/>
          <w:sz w:val="18"/>
          <w:shd w:fill="FFFFFF" w:val="clear"/>
        </w:rPr>
        <w:t>respectively, of deferred revenue billed in advance was recognized as revenue</w:t>
      </w:r>
      <w:r>
        <w:rPr>
          <w:rFonts w:ascii="Arial;sans-serif" w:hAnsi="Arial;sans-serif"/>
          <w:b w:val="false"/>
          <w:color w:val="000000"/>
          <w:sz w:val="18"/>
        </w:rPr>
        <w:t xml:space="preserve">.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Company does not have material contract assets, and it did not recognize any material impairments of any contract assets.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w:t>
      </w:r>
      <w:r>
        <w:rPr>
          <w:rFonts w:ascii="Arial;sans-serif" w:hAnsi="Arial;sans-serif"/>
          <w:b w:val="false"/>
          <w:color w:val="000000"/>
          <w:sz w:val="18"/>
        </w:rPr>
        <w:t>the market rate in place at the time those services are provided,</w:t>
      </w:r>
      <w:r>
        <w:rPr>
          <w:color w:val="000000"/>
          <w:shd w:fill="FFFFFF" w:val="clear"/>
        </w:rPr>
        <w:t xml:space="preserve"> </w:t>
      </w:r>
      <w:r>
        <w:rPr>
          <w:rFonts w:ascii="Arial;sans-serif" w:hAnsi="Arial;sans-serif"/>
          <w:b w:val="false"/>
          <w:color w:val="000000"/>
          <w:sz w:val="18"/>
          <w:shd w:fill="FFFFFF" w:val="clear"/>
        </w:rPr>
        <w:t xml:space="preserve">and therefore, the Company is applying the optional exemption to omit disclosure of such amounts.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As a result, the Company has applied the practical expedient for incremental costs of obtaining a sales contract and expenses commissions as incurred.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89"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NOTE 5 - Leases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As of December 31, 2023, the undiscounted future lease payments for operating and finance lease liabilities were as follows:</w:t>
      </w:r>
    </w:p>
    <w:tbl>
      <w:tblPr>
        <w:tblW w:w="6146" w:type="dxa"/>
        <w:jc w:val="left"/>
        <w:tblInd w:w="0" w:type="dxa"/>
        <w:tblLayout w:type="fixed"/>
        <w:tblCellMar>
          <w:top w:w="28" w:type="dxa"/>
          <w:left w:w="28" w:type="dxa"/>
          <w:bottom w:w="28" w:type="dxa"/>
          <w:right w:w="28" w:type="dxa"/>
        </w:tblCellMar>
      </w:tblPr>
      <w:tblGrid>
        <w:gridCol w:w="979"/>
        <w:gridCol w:w="860"/>
        <w:gridCol w:w="861"/>
        <w:gridCol w:w="298"/>
        <w:gridCol w:w="1168"/>
        <w:gridCol w:w="154"/>
        <w:gridCol w:w="109"/>
        <w:gridCol w:w="109"/>
        <w:gridCol w:w="109"/>
        <w:gridCol w:w="265"/>
        <w:gridCol w:w="1040"/>
        <w:gridCol w:w="194"/>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6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Operating Leases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Finance Leases</w:t>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29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69,429 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23,927 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47,465 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23,234 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26,212 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22,473 </w:t>
            </w:r>
          </w:p>
        </w:tc>
        <w:tc>
          <w:tcPr>
            <w:tcW w:w="19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lease payments</w:t>
            </w:r>
          </w:p>
        </w:tc>
        <w:tc>
          <w:tcPr>
            <w:tcW w:w="146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288,652 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135,304 </w:t>
            </w:r>
          </w:p>
        </w:tc>
        <w:tc>
          <w:tcPr>
            <w:tcW w:w="19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interest</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(18,205)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Present value of lease liabilities</w:t>
            </w:r>
          </w:p>
        </w:tc>
        <w:tc>
          <w:tcPr>
            <w:tcW w:w="29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245,245 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117,099 </w:t>
            </w:r>
          </w:p>
        </w:tc>
        <w:tc>
          <w:tcPr>
            <w:tcW w:w="19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Finance lease liabilities are included within long-term debt and current portion of long-term debt on the consolidated balance sheets.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Company’s lease activity during the years ended December 31, 2023, 2022, and 2021 was as follows:</w:t>
      </w:r>
    </w:p>
    <w:tbl>
      <w:tblPr>
        <w:tblW w:w="7707" w:type="dxa"/>
        <w:jc w:val="left"/>
        <w:tblInd w:w="0" w:type="dxa"/>
        <w:tblLayout w:type="fixed"/>
        <w:tblCellMar>
          <w:top w:w="28" w:type="dxa"/>
          <w:left w:w="28" w:type="dxa"/>
          <w:bottom w:w="28" w:type="dxa"/>
          <w:right w:w="28" w:type="dxa"/>
        </w:tblCellMar>
      </w:tblPr>
      <w:tblGrid>
        <w:gridCol w:w="1332"/>
        <w:gridCol w:w="1170"/>
        <w:gridCol w:w="1173"/>
        <w:gridCol w:w="211"/>
        <w:gridCol w:w="826"/>
        <w:gridCol w:w="109"/>
        <w:gridCol w:w="109"/>
        <w:gridCol w:w="109"/>
        <w:gridCol w:w="109"/>
        <w:gridCol w:w="211"/>
        <w:gridCol w:w="826"/>
        <w:gridCol w:w="109"/>
        <w:gridCol w:w="109"/>
        <w:gridCol w:w="109"/>
        <w:gridCol w:w="109"/>
        <w:gridCol w:w="211"/>
        <w:gridCol w:w="721"/>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3675"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FFFFFF"/>
                <w:sz w:val="18"/>
              </w:rPr>
              <w:t xml:space="preserve">Financial Statement Line </w:t>
            </w: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Expense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finance lease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obligations under finance leases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finance lease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lease expense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56,005 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lease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22,335 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expense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lease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96,041 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Supplemental cash flow information related to leases for the years ended December 31, 2023, 2022, and 2021 were as follows:</w:t>
      </w:r>
    </w:p>
    <w:tbl>
      <w:tblPr>
        <w:tblW w:w="10001" w:type="dxa"/>
        <w:jc w:val="left"/>
        <w:tblInd w:w="0" w:type="dxa"/>
        <w:tblLayout w:type="fixed"/>
        <w:tblCellMar>
          <w:top w:w="28" w:type="dxa"/>
          <w:left w:w="28" w:type="dxa"/>
          <w:bottom w:w="28" w:type="dxa"/>
          <w:right w:w="28" w:type="dxa"/>
        </w:tblCellMar>
      </w:tblPr>
      <w:tblGrid>
        <w:gridCol w:w="2240"/>
        <w:gridCol w:w="1967"/>
        <w:gridCol w:w="1972"/>
        <w:gridCol w:w="211"/>
        <w:gridCol w:w="721"/>
        <w:gridCol w:w="109"/>
        <w:gridCol w:w="109"/>
        <w:gridCol w:w="109"/>
        <w:gridCol w:w="109"/>
        <w:gridCol w:w="211"/>
        <w:gridCol w:w="721"/>
        <w:gridCol w:w="109"/>
        <w:gridCol w:w="109"/>
        <w:gridCol w:w="109"/>
        <w:gridCol w:w="109"/>
        <w:gridCol w:w="211"/>
        <w:gridCol w:w="721"/>
        <w:gridCol w:w="154"/>
      </w:tblGrid>
      <w:tr>
        <w:trPr/>
        <w:tc>
          <w:tcPr>
            <w:tcW w:w="2240"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Years Ended December 31,</w:t>
            </w:r>
          </w:p>
        </w:tc>
      </w:tr>
      <w:tr>
        <w:trPr/>
        <w:tc>
          <w:tcPr>
            <w:tcW w:w="6179"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FFFFFF"/>
                <w:sz w:val="18"/>
              </w:rPr>
              <w:t xml:space="preserve">Supplemental Cash Flow Information </w:t>
            </w:r>
            <w:r>
              <w:rPr>
                <w:rFonts w:ascii="Arial;sans-serif" w:hAnsi="Arial;sans-serif"/>
                <w:b/>
                <w:i/>
                <w:color w:val="FFFFFF"/>
                <w:sz w:val="18"/>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the amounts included in the measurement of lease liabilities:</w:t>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outflows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cash outflows from finance leases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Financing cash outflows from finance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 of use assets obtained in exchange for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Assets obtained in exchange for finance leases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19,435 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90"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12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Weighted-average remaining operating lease terms and the weighted average discount rates as of December 31 were as follows:</w:t>
      </w:r>
    </w:p>
    <w:tbl>
      <w:tblPr>
        <w:tblW w:w="7071" w:type="dxa"/>
        <w:jc w:val="left"/>
        <w:tblInd w:w="0" w:type="dxa"/>
        <w:tblLayout w:type="fixed"/>
        <w:tblCellMar>
          <w:top w:w="28" w:type="dxa"/>
          <w:left w:w="28" w:type="dxa"/>
          <w:bottom w:w="28" w:type="dxa"/>
          <w:right w:w="28" w:type="dxa"/>
        </w:tblCellMar>
      </w:tblPr>
      <w:tblGrid>
        <w:gridCol w:w="1783"/>
        <w:gridCol w:w="1566"/>
        <w:gridCol w:w="1571"/>
        <w:gridCol w:w="203"/>
        <w:gridCol w:w="203"/>
        <w:gridCol w:w="477"/>
        <w:gridCol w:w="109"/>
        <w:gridCol w:w="109"/>
        <w:gridCol w:w="109"/>
        <w:gridCol w:w="203"/>
        <w:gridCol w:w="203"/>
        <w:gridCol w:w="535"/>
      </w:tblGrid>
      <w:tr>
        <w:trPr/>
        <w:tc>
          <w:tcPr>
            <w:tcW w:w="178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Lease Terms and Discount Rates</w:t>
            </w:r>
          </w:p>
        </w:tc>
        <w:tc>
          <w:tcPr>
            <w:tcW w:w="88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 - operating leases</w:t>
            </w:r>
          </w:p>
        </w:tc>
        <w:tc>
          <w:tcPr>
            <w:tcW w:w="8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years</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discount rate - 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9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 - finance leases</w:t>
            </w:r>
          </w:p>
        </w:tc>
        <w:tc>
          <w:tcPr>
            <w:tcW w:w="8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years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years</w:t>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discount rate - finance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6 - Inventories</w:t>
      </w:r>
    </w:p>
    <w:p>
      <w:pPr>
        <w:pStyle w:val="TextBody"/>
        <w:bidi w:val="0"/>
        <w:spacing w:lineRule="auto" w:line="288" w:before="0" w:after="60"/>
        <w:ind w:left="0" w:right="0" w:firstLine="720"/>
        <w:jc w:val="left"/>
        <w:rPr/>
      </w:pPr>
      <w:r>
        <w:rPr>
          <w:rFonts w:ascii="Arial;sans-serif" w:hAnsi="Arial;sans-serif"/>
          <w:b w:val="false"/>
          <w:color w:val="000000"/>
          <w:sz w:val="18"/>
        </w:rPr>
        <w:t>Inv</w:t>
      </w:r>
      <w:r>
        <w:rPr>
          <w:rFonts w:ascii="Arial;sans-serif" w:hAnsi="Arial;sans-serif"/>
          <w:b w:val="false"/>
          <w:color w:val="000000"/>
          <w:sz w:val="18"/>
          <w:shd w:fill="FFFFFF" w:val="clear"/>
        </w:rPr>
        <w:t>entories at December 31, consisted of the following:</w:t>
      </w:r>
    </w:p>
    <w:tbl>
      <w:tblPr>
        <w:tblW w:w="3789" w:type="dxa"/>
        <w:jc w:val="left"/>
        <w:tblInd w:w="0" w:type="dxa"/>
        <w:tblLayout w:type="fixed"/>
        <w:tblCellMar>
          <w:top w:w="28" w:type="dxa"/>
          <w:left w:w="28" w:type="dxa"/>
          <w:bottom w:w="28" w:type="dxa"/>
          <w:right w:w="28" w:type="dxa"/>
        </w:tblCellMar>
      </w:tblPr>
      <w:tblGrid>
        <w:gridCol w:w="484"/>
        <w:gridCol w:w="425"/>
        <w:gridCol w:w="426"/>
        <w:gridCol w:w="211"/>
        <w:gridCol w:w="721"/>
        <w:gridCol w:w="109"/>
        <w:gridCol w:w="109"/>
        <w:gridCol w:w="109"/>
        <w:gridCol w:w="109"/>
        <w:gridCol w:w="211"/>
        <w:gridCol w:w="721"/>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Raw materials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38,611 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Finished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47,406 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41,030 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7 - Rental Equipment, net</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Rental equipment, net at </w:t>
      </w:r>
      <w:r>
        <w:rPr>
          <w:rFonts w:ascii="Arial;sans-serif" w:hAnsi="Arial;sans-serif"/>
          <w:b w:val="false"/>
          <w:color w:val="000000"/>
          <w:sz w:val="18"/>
          <w:shd w:fill="FFFFFF" w:val="clear"/>
        </w:rPr>
        <w:t>December 31</w:t>
      </w:r>
      <w:r>
        <w:rPr>
          <w:color w:val="000000"/>
        </w:rPr>
        <w:t xml:space="preserve"> </w:t>
      </w:r>
      <w:r>
        <w:rPr>
          <w:rFonts w:ascii="Arial;sans-serif" w:hAnsi="Arial;sans-serif"/>
          <w:b w:val="false"/>
          <w:color w:val="000000"/>
          <w:sz w:val="18"/>
        </w:rPr>
        <w:t>consisted of the following:</w:t>
      </w:r>
    </w:p>
    <w:tbl>
      <w:tblPr>
        <w:tblW w:w="5678" w:type="dxa"/>
        <w:jc w:val="left"/>
        <w:tblInd w:w="0" w:type="dxa"/>
        <w:tblLayout w:type="fixed"/>
        <w:tblCellMar>
          <w:top w:w="28" w:type="dxa"/>
          <w:left w:w="28" w:type="dxa"/>
          <w:bottom w:w="28" w:type="dxa"/>
          <w:right w:w="28" w:type="dxa"/>
        </w:tblCellMar>
      </w:tblPr>
      <w:tblGrid>
        <w:gridCol w:w="985"/>
        <w:gridCol w:w="863"/>
        <w:gridCol w:w="866"/>
        <w:gridCol w:w="211"/>
        <w:gridCol w:w="976"/>
        <w:gridCol w:w="109"/>
        <w:gridCol w:w="109"/>
        <w:gridCol w:w="109"/>
        <w:gridCol w:w="109"/>
        <w:gridCol w:w="211"/>
        <w:gridCol w:w="976"/>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Modular space units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3,541,451 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3,197,779 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Portable storage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Value added products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204,933 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203,444 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rental equipment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4,755,443 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4,250,416 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(1,374,128)</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(1,173,129)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3,381,315 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3,077,287 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NOTE 8 – Property, Plant and Equipment, net</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Property, plant and equipment, net at </w:t>
      </w:r>
      <w:r>
        <w:rPr>
          <w:rFonts w:ascii="Arial;sans-serif" w:hAnsi="Arial;sans-serif"/>
          <w:b w:val="false"/>
          <w:color w:val="000000"/>
          <w:sz w:val="18"/>
          <w:shd w:fill="FFFFFF" w:val="clear"/>
        </w:rPr>
        <w:t>December 31</w:t>
      </w:r>
      <w:r>
        <w:rPr>
          <w:color w:val="000000"/>
        </w:rPr>
        <w:t xml:space="preserve"> </w:t>
      </w:r>
      <w:r>
        <w:rPr>
          <w:rFonts w:ascii="Arial;sans-serif" w:hAnsi="Arial;sans-serif"/>
          <w:b w:val="false"/>
          <w:color w:val="000000"/>
          <w:sz w:val="18"/>
        </w:rPr>
        <w:t>consisted of the following:</w:t>
      </w:r>
    </w:p>
    <w:tbl>
      <w:tblPr>
        <w:tblW w:w="6503" w:type="dxa"/>
        <w:jc w:val="left"/>
        <w:tblInd w:w="0" w:type="dxa"/>
        <w:tblLayout w:type="fixed"/>
        <w:tblCellMar>
          <w:top w:w="28" w:type="dxa"/>
          <w:left w:w="28" w:type="dxa"/>
          <w:bottom w:w="28" w:type="dxa"/>
          <w:right w:w="28" w:type="dxa"/>
        </w:tblCellMar>
      </w:tblPr>
      <w:tblGrid>
        <w:gridCol w:w="1392"/>
        <w:gridCol w:w="1222"/>
        <w:gridCol w:w="1225"/>
        <w:gridCol w:w="211"/>
        <w:gridCol w:w="826"/>
        <w:gridCol w:w="109"/>
        <w:gridCol w:w="109"/>
        <w:gridCol w:w="109"/>
        <w:gridCol w:w="109"/>
        <w:gridCol w:w="211"/>
        <w:gridCol w:w="82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buildings, and leasehold improvements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178,117 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174,322 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Vehicles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furniture, fixtures and software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106,747 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property, plant and equipment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448,406 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(180,483)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(143,747)</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304,659 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Depreciation expense related to property, plant and equipment </w:t>
      </w:r>
      <w:r>
        <w:rPr>
          <w:rFonts w:ascii="Arial;sans-serif" w:hAnsi="Arial;sans-serif"/>
          <w:b w:val="false"/>
          <w:color w:val="000000"/>
          <w:sz w:val="18"/>
          <w:shd w:fill="FFFFFF" w:val="clear"/>
        </w:rPr>
        <w:t>w</w:t>
      </w:r>
      <w:r>
        <w:rPr>
          <w:rFonts w:ascii="Arial;sans-serif" w:hAnsi="Arial;sans-serif"/>
          <w:b w:val="false"/>
          <w:color w:val="000000"/>
          <w:sz w:val="18"/>
        </w:rPr>
        <w:t xml:space="preserve">as $47.1 million, $38.6 million, and $37.5 million for the years ended December 31, 2023, 2022 and 2021, respectively. The depreciation expense for these assets was presented in other depreciation and amortization in the consolidated statements of operations. </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of December 31, 2023 and 2022, the gross cost of property, plant and equipment assets under finance leases was $133.3 million and $84.7 million, respectively, with related accumulated depreciation of $40.8 million and $26.9 million, respectively.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91"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9 - Goodwill and Intangible Assets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Goodwill</w:t>
      </w:r>
    </w:p>
    <w:p>
      <w:pPr>
        <w:pStyle w:val="TextBody"/>
        <w:bidi w:val="0"/>
        <w:spacing w:lineRule="auto" w:line="288" w:before="0" w:after="60"/>
        <w:ind w:left="0" w:right="0" w:firstLine="720"/>
        <w:jc w:val="left"/>
        <w:rPr>
          <w:rFonts w:ascii="Arial;sans-serif" w:hAnsi="Arial;sans-serif"/>
          <w:b w:val="false"/>
          <w:color w:val="000000"/>
          <w:sz w:val="18"/>
        </w:rPr>
      </w:pPr>
      <w:r>
        <w:rPr>
          <w:rFonts w:ascii="Arial;sans-serif" w:hAnsi="Arial;sans-serif"/>
          <w:b w:val="false"/>
          <w:color w:val="000000"/>
          <w:sz w:val="18"/>
        </w:rPr>
        <w:t>Changes in the carrying amount of goodwill were as follows:</w:t>
      </w:r>
    </w:p>
    <w:tbl>
      <w:tblPr>
        <w:tblW w:w="8247" w:type="dxa"/>
        <w:jc w:val="left"/>
        <w:tblInd w:w="0" w:type="dxa"/>
        <w:tblLayout w:type="fixed"/>
        <w:tblCellMar>
          <w:top w:w="28" w:type="dxa"/>
          <w:left w:w="28" w:type="dxa"/>
          <w:bottom w:w="28" w:type="dxa"/>
          <w:right w:w="28" w:type="dxa"/>
        </w:tblCellMar>
      </w:tblPr>
      <w:tblGrid>
        <w:gridCol w:w="1435"/>
        <w:gridCol w:w="1261"/>
        <w:gridCol w:w="1264"/>
        <w:gridCol w:w="211"/>
        <w:gridCol w:w="826"/>
        <w:gridCol w:w="109"/>
        <w:gridCol w:w="109"/>
        <w:gridCol w:w="109"/>
        <w:gridCol w:w="109"/>
        <w:gridCol w:w="211"/>
        <w:gridCol w:w="826"/>
        <w:gridCol w:w="109"/>
        <w:gridCol w:w="109"/>
        <w:gridCol w:w="109"/>
        <w:gridCol w:w="109"/>
        <w:gridCol w:w="211"/>
        <w:gridCol w:w="97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Modular</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Storage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2021</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521,049 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1,013,601 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movements in foreign exchange rates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518,877 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1,011,429 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from 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Effects of movements in foreign exchange rates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595,943 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1,176,635 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pPr>
      <w:r>
        <w:rPr>
          <w:rFonts w:ascii="Arial;sans-serif" w:hAnsi="Arial;sans-serif"/>
          <w:b w:val="false"/>
          <w:color w:val="000000"/>
          <w:sz w:val="18"/>
        </w:rPr>
        <w:t xml:space="preserve">The Company conducted its annual impairment test of goodwill as of October 1, 2023 and determined that there was no impairment of goodwill identified. </w:t>
      </w:r>
      <w:r>
        <w:rPr>
          <w:rFonts w:ascii="Arial;sans-serif" w:hAnsi="Arial;sans-serif"/>
          <w:b w:val="false"/>
          <w:color w:val="000000"/>
          <w:sz w:val="18"/>
          <w:shd w:fill="FFFFFF" w:val="clear"/>
        </w:rPr>
        <w:t>Accumulated historical goodwill impairment losses wer</w:t>
      </w:r>
      <w:r>
        <w:rPr>
          <w:rFonts w:ascii="Arial;sans-serif" w:hAnsi="Arial;sans-serif"/>
          <w:b w:val="false"/>
          <w:color w:val="000000"/>
          <w:sz w:val="18"/>
        </w:rPr>
        <w:t xml:space="preserve">e $792.8 million and pertain to the Modular segment (as defined in Note 18) prior to Double Eagle Acquisition Corporation's acquisition of Williams Scotsman International, Inc. in 2017. </w:t>
      </w:r>
      <w:r>
        <w:rPr>
          <w:rFonts w:ascii="Arial;sans-serif" w:hAnsi="Arial;sans-serif"/>
          <w:b w:val="false"/>
          <w:color w:val="000000"/>
          <w:sz w:val="18"/>
          <w:shd w:fill="FFFFFF" w:val="clear"/>
        </w:rPr>
        <w:t xml:space="preserve">There were no goodwill impairments recorded for the years ended </w:t>
      </w:r>
      <w:r>
        <w:rPr>
          <w:rFonts w:ascii="Arial;sans-serif" w:hAnsi="Arial;sans-serif"/>
          <w:b w:val="false"/>
          <w:color w:val="000000"/>
          <w:sz w:val="18"/>
        </w:rPr>
        <w:t>December 31, 2023, 2022 and 2021.</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Intangible Assets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Intangible assets other than goodwill at December 31, consisted of the following:</w:t>
      </w:r>
    </w:p>
    <w:tbl>
      <w:tblPr>
        <w:tblW w:w="10205" w:type="dxa"/>
        <w:jc w:val="left"/>
        <w:tblInd w:w="0" w:type="dxa"/>
        <w:tblLayout w:type="fixed"/>
        <w:tblCellMar>
          <w:top w:w="28" w:type="dxa"/>
          <w:left w:w="28" w:type="dxa"/>
          <w:bottom w:w="28" w:type="dxa"/>
          <w:right w:w="28" w:type="dxa"/>
        </w:tblCellMar>
      </w:tblPr>
      <w:tblGrid>
        <w:gridCol w:w="956"/>
        <w:gridCol w:w="698"/>
        <w:gridCol w:w="699"/>
        <w:gridCol w:w="742"/>
        <w:gridCol w:w="742"/>
        <w:gridCol w:w="744"/>
        <w:gridCol w:w="109"/>
        <w:gridCol w:w="109"/>
        <w:gridCol w:w="109"/>
        <w:gridCol w:w="291"/>
        <w:gridCol w:w="1139"/>
        <w:gridCol w:w="150"/>
        <w:gridCol w:w="109"/>
        <w:gridCol w:w="109"/>
        <w:gridCol w:w="109"/>
        <w:gridCol w:w="349"/>
        <w:gridCol w:w="1225"/>
        <w:gridCol w:w="183"/>
        <w:gridCol w:w="109"/>
        <w:gridCol w:w="109"/>
        <w:gridCol w:w="109"/>
        <w:gridCol w:w="229"/>
        <w:gridCol w:w="900"/>
        <w:gridCol w:w="177"/>
      </w:tblGrid>
      <w:tr>
        <w:trPr/>
        <w:tc>
          <w:tcPr>
            <w:tcW w:w="95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2"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2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 average remaining life (in years)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Gross carrying amount</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amortization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Net book value</w:t>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subject to amortization:</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(84,324)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2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intangible assets:</w:t>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Mobile Mini</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WillScot</w:t>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intangible assets other than goodwill</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504,908 </w:t>
            </w:r>
          </w:p>
        </w:tc>
        <w:tc>
          <w:tcPr>
            <w:tcW w:w="1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(85,199)</w:t>
            </w:r>
          </w:p>
        </w:tc>
        <w:tc>
          <w:tcPr>
            <w:tcW w:w="1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419,709 </w:t>
            </w:r>
          </w:p>
        </w:tc>
        <w:tc>
          <w:tcPr>
            <w:tcW w:w="1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6"/>
        <w:gridCol w:w="698"/>
        <w:gridCol w:w="699"/>
        <w:gridCol w:w="742"/>
        <w:gridCol w:w="742"/>
        <w:gridCol w:w="744"/>
        <w:gridCol w:w="109"/>
        <w:gridCol w:w="109"/>
        <w:gridCol w:w="109"/>
        <w:gridCol w:w="291"/>
        <w:gridCol w:w="1139"/>
        <w:gridCol w:w="150"/>
        <w:gridCol w:w="109"/>
        <w:gridCol w:w="109"/>
        <w:gridCol w:w="109"/>
        <w:gridCol w:w="349"/>
        <w:gridCol w:w="1225"/>
        <w:gridCol w:w="183"/>
        <w:gridCol w:w="109"/>
        <w:gridCol w:w="109"/>
        <w:gridCol w:w="109"/>
        <w:gridCol w:w="229"/>
        <w:gridCol w:w="900"/>
        <w:gridCol w:w="177"/>
      </w:tblGrid>
      <w:tr>
        <w:trPr/>
        <w:tc>
          <w:tcPr>
            <w:tcW w:w="95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2"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2022</w:t>
            </w:r>
          </w:p>
        </w:tc>
      </w:tr>
      <w:tr>
        <w:trPr/>
        <w:tc>
          <w:tcPr>
            <w:tcW w:w="235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2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 average remaining life (in years)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Gross carrying amount</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Accumulated amortization</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Net book value</w:t>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subject to amortization:</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w:t>
            </w:r>
          </w:p>
        </w:tc>
        <w:tc>
          <w:tcPr>
            <w:tcW w:w="222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Indefinite-lived intangible assets:</w:t>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Trade name - Mobile Mini </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5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164,000 </w:t>
            </w:r>
          </w:p>
        </w:tc>
        <w:tc>
          <w:tcPr>
            <w:tcW w:w="17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 name - WillScot</w:t>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intangible assets other than goodwill</w:t>
            </w:r>
          </w:p>
        </w:tc>
        <w:tc>
          <w:tcPr>
            <w:tcW w:w="22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478,500 </w:t>
            </w:r>
          </w:p>
        </w:tc>
        <w:tc>
          <w:tcPr>
            <w:tcW w:w="15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(59,375)</w:t>
            </w:r>
          </w:p>
        </w:tc>
        <w:tc>
          <w:tcPr>
            <w:tcW w:w="18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419,125 </w:t>
            </w:r>
          </w:p>
        </w:tc>
        <w:tc>
          <w:tcPr>
            <w:tcW w:w="17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720"/>
        <w:jc w:val="both"/>
        <w:rPr/>
      </w:pPr>
      <w:r>
        <w:rPr>
          <w:rFonts w:ascii="Arial;sans-serif" w:hAnsi="Arial;sans-serif"/>
          <w:b w:val="false"/>
          <w:color w:val="000000"/>
          <w:sz w:val="18"/>
          <w:shd w:fill="FFFFFF" w:val="clear"/>
        </w:rPr>
        <w:t xml:space="preserve">For the years ended December 31, 2023, 2022 and 2021, the aggregate amount recorded to depreciation and amortization expense for intangible assets subject to amortization was </w:t>
      </w:r>
      <w:r>
        <w:rPr>
          <w:rFonts w:ascii="Arial;sans-serif" w:hAnsi="Arial;sans-serif"/>
          <w:b w:val="false"/>
          <w:color w:val="000000"/>
          <w:sz w:val="18"/>
        </w:rPr>
        <w:t>$25.8 million, $23.8 million and $24.3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92"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As of December 31, 2023, the expected future amortization expense for intangible assets is as follows:</w:t>
      </w:r>
    </w:p>
    <w:tbl>
      <w:tblPr>
        <w:tblW w:w="3375" w:type="dxa"/>
        <w:jc w:val="left"/>
        <w:tblInd w:w="0" w:type="dxa"/>
        <w:tblLayout w:type="fixed"/>
        <w:tblCellMar>
          <w:top w:w="28" w:type="dxa"/>
          <w:left w:w="28" w:type="dxa"/>
          <w:bottom w:w="28" w:type="dxa"/>
          <w:right w:w="28" w:type="dxa"/>
        </w:tblCellMar>
      </w:tblPr>
      <w:tblGrid>
        <w:gridCol w:w="484"/>
        <w:gridCol w:w="425"/>
        <w:gridCol w:w="426"/>
        <w:gridCol w:w="360"/>
        <w:gridCol w:w="1415"/>
        <w:gridCol w:w="265"/>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04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Amortization Expense</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36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29,122 </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29,122 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7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28,997 </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28,684 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7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14,784 </w:t>
            </w:r>
          </w:p>
        </w:tc>
        <w:tc>
          <w:tcPr>
            <w:tcW w:w="26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130,709 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10 - Debt</w:t>
      </w:r>
    </w:p>
    <w:p>
      <w:pPr>
        <w:pStyle w:val="TextBody"/>
        <w:bidi w:val="0"/>
        <w:spacing w:lineRule="auto" w:line="288" w:before="0" w:after="60"/>
        <w:ind w:left="0" w:right="0" w:firstLine="720"/>
        <w:jc w:val="both"/>
        <w:rPr/>
      </w:pPr>
      <w:r>
        <w:rPr>
          <w:rFonts w:ascii="Arial;sans-serif" w:hAnsi="Arial;sans-serif"/>
          <w:b w:val="false"/>
          <w:color w:val="000000"/>
          <w:sz w:val="18"/>
        </w:rPr>
        <w:t>The carrying value of debt outstanding</w:t>
      </w:r>
      <w:r>
        <w:rPr>
          <w:color w:val="000000"/>
          <w:shd w:fill="FFFFFF" w:val="clear"/>
        </w:rPr>
        <w:t xml:space="preserve"> </w:t>
      </w:r>
      <w:r>
        <w:rPr>
          <w:rFonts w:ascii="Arial;sans-serif" w:hAnsi="Arial;sans-serif"/>
          <w:b w:val="false"/>
          <w:color w:val="000000"/>
          <w:sz w:val="18"/>
          <w:shd w:fill="FFFFFF" w:val="clear"/>
        </w:rPr>
        <w:t>at December 31 consisted of the following:</w:t>
      </w:r>
    </w:p>
    <w:tbl>
      <w:tblPr>
        <w:tblW w:w="9466" w:type="dxa"/>
        <w:jc w:val="left"/>
        <w:tblInd w:w="0" w:type="dxa"/>
        <w:tblLayout w:type="fixed"/>
        <w:tblCellMar>
          <w:top w:w="28" w:type="dxa"/>
          <w:left w:w="28" w:type="dxa"/>
          <w:bottom w:w="28" w:type="dxa"/>
          <w:right w:w="28" w:type="dxa"/>
        </w:tblCellMar>
      </w:tblPr>
      <w:tblGrid>
        <w:gridCol w:w="1163"/>
        <w:gridCol w:w="1020"/>
        <w:gridCol w:w="1027"/>
        <w:gridCol w:w="384"/>
        <w:gridCol w:w="384"/>
        <w:gridCol w:w="386"/>
        <w:gridCol w:w="109"/>
        <w:gridCol w:w="109"/>
        <w:gridCol w:w="109"/>
        <w:gridCol w:w="494"/>
        <w:gridCol w:w="494"/>
        <w:gridCol w:w="496"/>
        <w:gridCol w:w="109"/>
        <w:gridCol w:w="109"/>
        <w:gridCol w:w="109"/>
        <w:gridCol w:w="211"/>
        <w:gridCol w:w="976"/>
        <w:gridCol w:w="109"/>
        <w:gridCol w:w="109"/>
        <w:gridCol w:w="109"/>
        <w:gridCol w:w="109"/>
        <w:gridCol w:w="211"/>
        <w:gridCol w:w="97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 except rates)</w:t>
            </w:r>
          </w:p>
        </w:tc>
        <w:tc>
          <w:tcPr>
            <w:tcW w:w="115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Interest rate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of maturity</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520,350 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Secured Notes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4.625%</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494,500 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493,470 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 Secured Notes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w:t>
            </w:r>
          </w:p>
        </w:tc>
        <w:tc>
          <w:tcPr>
            <w:tcW w:w="11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74,370 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3,076,366 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current portion of long-term debt</w:t>
            </w:r>
          </w:p>
        </w:tc>
        <w:tc>
          <w:tcPr>
            <w:tcW w:w="115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long-term debt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3,538,516 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3,063,042 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Maturities of debt, including finance leases, during the years subsequent to December 31, 2023 are as follows: </w:t>
      </w:r>
    </w:p>
    <w:tbl>
      <w:tblPr>
        <w:tblW w:w="2676" w:type="dxa"/>
        <w:jc w:val="left"/>
        <w:tblInd w:w="0" w:type="dxa"/>
        <w:tblLayout w:type="fixed"/>
        <w:tblCellMar>
          <w:top w:w="28" w:type="dxa"/>
          <w:left w:w="28" w:type="dxa"/>
          <w:bottom w:w="28" w:type="dxa"/>
          <w:right w:w="28" w:type="dxa"/>
        </w:tblCellMar>
      </w:tblPr>
      <w:tblGrid>
        <w:gridCol w:w="484"/>
        <w:gridCol w:w="425"/>
        <w:gridCol w:w="426"/>
        <w:gridCol w:w="211"/>
        <w:gridCol w:w="976"/>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4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23,927 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23,234 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1,975,992 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522,473 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3,617,814 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The Company records de</w:t>
      </w:r>
      <w:r>
        <w:rPr>
          <w:rFonts w:ascii="Arial;sans-serif" w:hAnsi="Arial;sans-serif"/>
          <w:b w:val="false"/>
          <w:color w:val="000000"/>
          <w:sz w:val="18"/>
          <w:shd w:fill="FFFFFF" w:val="clear"/>
        </w:rPr>
        <w:t>bt issuance costs as offsets against the carrying value of the related debt</w:t>
      </w:r>
      <w:r>
        <w:rPr>
          <w:rFonts w:ascii="Arial;sans-serif" w:hAnsi="Arial;sans-serif"/>
          <w:b w:val="false"/>
          <w:color w:val="000000"/>
          <w:sz w:val="18"/>
        </w:rPr>
        <w:t>. These debt costs are amortized and included as part of interest expense over the remaining contractual terms of those debt instruments for each of the next five years as follows:</w:t>
      </w:r>
    </w:p>
    <w:tbl>
      <w:tblPr>
        <w:tblW w:w="4244" w:type="dxa"/>
        <w:jc w:val="left"/>
        <w:tblInd w:w="0" w:type="dxa"/>
        <w:tblLayout w:type="fixed"/>
        <w:tblCellMar>
          <w:top w:w="28" w:type="dxa"/>
          <w:left w:w="28" w:type="dxa"/>
          <w:bottom w:w="28" w:type="dxa"/>
          <w:right w:w="28" w:type="dxa"/>
        </w:tblCellMar>
      </w:tblPr>
      <w:tblGrid>
        <w:gridCol w:w="484"/>
        <w:gridCol w:w="425"/>
        <w:gridCol w:w="426"/>
        <w:gridCol w:w="564"/>
        <w:gridCol w:w="1931"/>
        <w:gridCol w:w="41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90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Debt issuance cost amortization</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56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11,891 </w:t>
            </w:r>
          </w:p>
        </w:tc>
        <w:tc>
          <w:tcPr>
            <w:tcW w:w="4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10,664 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56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9,555 </w:t>
            </w:r>
          </w:p>
        </w:tc>
        <w:tc>
          <w:tcPr>
            <w:tcW w:w="4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5,852 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56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1,677 </w:t>
            </w:r>
          </w:p>
        </w:tc>
        <w:tc>
          <w:tcPr>
            <w:tcW w:w="4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Asset Backed Lending Facility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July 1, 2020, certain subsidiaries of the Company entered into an asset-based credit agreement (the "ABL Facility") that initially provided for revolving credit facilities in the aggregate principal amount of up to $2.4 billion, consisting of: (i) a senior secured asset-based US dollar revolving credit facility in the aggregate principal amount of $2.0 billion and (ii) a $400.0 million senior secured asset-based multicurrency revolving credit facility available to be drawn in US Dollars, Canadian Dollars, British Pounds Sterling or Euros. The ABL Facility was initially scheduled to mature on July 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93"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June 30, 2022, certain subsidiaries of the Company entered into an amendment to the ABL Facility to, among other things, extend the expiration date until June 30, 2027 and increase the aggregate principal amount of the revolving credit facilities to $3.7 billion, consisting of: (i) a senior secured asset-based US dollar revolving credit facility in the aggregate principal amount of $3.3 billion (the “US Facility”), (ii) a $400.0 million senior secured asset-based multicurrency revolving credit facility (the "Multicurrency Facility"), available to be drawn in US Dollars, Canadian Dollars, British Pounds Sterling or Euros, and (iii) an accordion feature that permits the Company to increase the lenders' commitments in an aggregate amount not to exceed the greater of $750.0 million and the amount of suppressed availability as defined in the ABL Facility, subject to the satisfaction of customary conditions including lender approval, plus any voluntary prepayments that are accompanied by permanent commitment reductions under the ABL facility. The amendment also converted the interest rate for borrowings denominated in US Dollars from a LIBOR-based rate to a Term SOFR-based rate with an interest period of one month and adjusted the applicable margins. The applicable margin for Canadian BA rate, Term SOFR, British Pounds Sterling and Euros loans is 1.50%. The facility includes a credit spread adjustment of 0.10% in addition to the applicable margin. The applicable margin for base rate and Canadian Prime Rate loans is 0.50%. The applicable margins are subject to one step down of 0.25% based on excess availability or one step up of 0.25% based on the Company's leverage ratio. The ABL Facility requires the payment of a commitment fee on the unused available borrowings of 0.20% annually. At December 31, 2023, the weighted average interest rate for borrowings under the ABL Facility, as adjusted for the effects of the 2023 interest rate swap agreements, was 6.24%. Refer to Note 14 for a more detailed discussion on interest rate management.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Borrowing availability under the US Facility and the Multicurrency Facility is equal to the lesser of (i) the aggregate Revolver Commitments and (ii) the Borrowing Base ("Line Cap"). At December 31, 2023, the Line Cap was $3.2 billion and the Borrowers had approximately $1.2 billion of available borrowing capacity under the ABL Facility, including $1.0 billion under the US Facility and $189.4 million under the Multicurrency Facility. Borrowing capacity under the ABL Facility is made available for up to $220.0 million letters of credit and $220.0 million of swingline loans. At December 31, 2023, the available capacity was $191.5 million of letters of credit and $216.2 million of swingline loans. At December 31, 2023, letters of credit and bank guarantees carried fees of 1.625%. The Company had issued $28.5 million of standby letters of credit under the ABL Facility at December 31, 2023. </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 Company had approximately $2.0 billion outstanding principal under the ABL Facility at December 31, 2023. Debt issuance costs of $26.8 million and $31.8 million were included in the carrying value of the ABL Facility at December 31, 2023 and </w:t>
      </w:r>
      <w:r>
        <w:rPr>
          <w:rFonts w:ascii="Arial;sans-serif" w:hAnsi="Arial;sans-serif"/>
          <w:b w:val="false"/>
          <w:color w:val="000000"/>
          <w:sz w:val="18"/>
          <w:shd w:fill="FFFFFF" w:val="clear"/>
        </w:rPr>
        <w:t>December 31, 2022</w:t>
      </w:r>
      <w:r>
        <w:rPr>
          <w:rFonts w:ascii="Arial;sans-serif" w:hAnsi="Arial;sans-serif"/>
          <w:b w:val="false"/>
          <w:color w:val="000000"/>
          <w:sz w:val="18"/>
        </w:rPr>
        <w:t xml:space="preserve">. As of </w:t>
      </w:r>
      <w:r>
        <w:rPr>
          <w:rFonts w:ascii="Arial;sans-serif" w:hAnsi="Arial;sans-serif"/>
          <w:b w:val="false"/>
          <w:color w:val="000000"/>
          <w:sz w:val="18"/>
          <w:shd w:fill="FFFFFF" w:val="clear"/>
        </w:rPr>
        <w:t xml:space="preserve">December 31, 2022, the Company had </w:t>
      </w:r>
      <w:r>
        <w:rPr>
          <w:rFonts w:ascii="Arial;sans-serif" w:hAnsi="Arial;sans-serif"/>
          <w:b w:val="false"/>
          <w:color w:val="000000"/>
          <w:sz w:val="18"/>
        </w:rPr>
        <w:t>no</w:t>
      </w:r>
      <w:r>
        <w:rPr>
          <w:color w:val="000000"/>
          <w:shd w:fill="FFFFFF" w:val="clear"/>
        </w:rPr>
        <w:t xml:space="preserve"> </w:t>
      </w:r>
      <w:r>
        <w:rPr>
          <w:rFonts w:ascii="Arial;sans-serif" w:hAnsi="Arial;sans-serif"/>
          <w:b w:val="false"/>
          <w:color w:val="000000"/>
          <w:sz w:val="18"/>
          <w:shd w:fill="FFFFFF" w:val="clear"/>
        </w:rPr>
        <w:t xml:space="preserve">outstanding principal borrowings on the Multicurrency Facility </w:t>
      </w:r>
      <w:r>
        <w:rPr>
          <w:rFonts w:ascii="Arial;sans-serif" w:hAnsi="Arial;sans-serif"/>
          <w:b w:val="false"/>
          <w:color w:val="000000"/>
          <w:sz w:val="18"/>
        </w:rPr>
        <w:t xml:space="preserve">and </w:t>
      </w:r>
      <w:r>
        <w:rPr>
          <w:rFonts w:ascii="Arial;sans-serif" w:hAnsi="Arial;sans-serif"/>
          <w:b w:val="false"/>
          <w:color w:val="000000"/>
          <w:sz w:val="18"/>
          <w:shd w:fill="FFFFFF" w:val="clear"/>
        </w:rPr>
        <w:t>$2.5 million</w:t>
      </w:r>
      <w:r>
        <w:rPr>
          <w:color w:val="000000"/>
        </w:rPr>
        <w:t xml:space="preserve"> </w:t>
      </w:r>
      <w:r>
        <w:rPr>
          <w:rFonts w:ascii="Arial;sans-serif" w:hAnsi="Arial;sans-serif"/>
          <w:b w:val="false"/>
          <w:color w:val="000000"/>
          <w:sz w:val="18"/>
        </w:rPr>
        <w:t xml:space="preserve">of related debt issuance costs, which were recorded </w:t>
      </w:r>
      <w:r>
        <w:rPr>
          <w:rFonts w:ascii="Arial;sans-serif" w:hAnsi="Arial;sans-serif"/>
          <w:b w:val="false"/>
          <w:color w:val="000000"/>
          <w:sz w:val="18"/>
          <w:shd w:fill="FFFFFF" w:val="clear"/>
        </w:rPr>
        <w:t>in other non-current assets on the consolidated balance sheets.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obligations of the US Borrowers are unconditionally guaranteed by Holdings and each existing and subsequently acquired or organized direct or indirect wholly-owned US organized restricted subsidiary of Holdings, other than excluded subsidiaries (together with Holdings, the "US Guarantors"). The obligations of the Multicurrency Borrowers are unconditionally guaranteed by the US Borrowers and the US Guarantors, and each existing and subsequently acquired or organized direct or indirect wholly-owned Canadian organized restricted subsidiary of Holdings other than certain excluded subsidiaries (together with the US Guarantors, the "ABL Guarantors").</w:t>
      </w:r>
    </w:p>
    <w:p>
      <w:pPr>
        <w:pStyle w:val="TextBody"/>
        <w:bidi w:val="0"/>
        <w:spacing w:lineRule="auto" w:line="288" w:before="0" w:after="60"/>
        <w:jc w:val="left"/>
        <w:rPr>
          <w:rFonts w:ascii="Arial;sans-serif" w:hAnsi="Arial;sans-serif"/>
          <w:b/>
          <w:color w:val="000000"/>
          <w:sz w:val="20"/>
          <w:shd w:fill="FFFFFF" w:val="clear"/>
        </w:rPr>
      </w:pPr>
      <w:r>
        <w:rPr>
          <w:rFonts w:ascii="Arial;sans-serif" w:hAnsi="Arial;sans-serif"/>
          <w:b/>
          <w:color w:val="000000"/>
          <w:sz w:val="20"/>
          <w:shd w:fill="FFFFFF" w:val="clear"/>
        </w:rPr>
        <w:t>Senior Secured Notes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On June 15, 2020, the Company completed a private offering of $650.0 million in aggregate principal amount of its 6.125% senior secured notes due 2025 (the "2025 Secured Notes") to qualified institutional buyers pursuant to Rule 144A of the Securities Act of 1933, as amended ("Rule 144A"). The 2025 Secured Notes mature on June 15, 2025 and bear interest at a rate of 6.125% per annum. Interest is payable semi-annually on June 15 and December 15 of each year. In 2021, using cash on hand and borrowings on the ABL Facility, the Company redeemed $123.5 million of its 2025 Secured Notes and recorded a loss on extinguishment of debt in the consolidated statement of operations of $6.0 million comprised of a redemption premium of $3.7 million and write off of unamortized deferred financing fees of $2.3 million. As of December 31, 2023 the aggregate principal amount outstanding for the 2025 Secured Notes was $526.5 million. Unamortized deferred financing costs pertaining to the 2025 Secured Notes were $3.8 million as of December 31, 2023.</w:t>
      </w:r>
    </w:p>
    <w:p>
      <w:pPr>
        <w:pStyle w:val="TextBody"/>
        <w:bidi w:val="0"/>
        <w:spacing w:lineRule="auto" w:line="288" w:before="0" w:after="60"/>
        <w:ind w:left="0" w:right="0" w:firstLine="720"/>
        <w:jc w:val="both"/>
        <w:rPr/>
      </w:pPr>
      <w:r>
        <w:rPr>
          <w:rFonts w:ascii="Arial;sans-serif" w:hAnsi="Arial;sans-serif"/>
          <w:b w:val="false"/>
          <w:color w:val="000000"/>
          <w:sz w:val="18"/>
        </w:rPr>
        <w:t>On August 25, 2020, the Company completed a private offering of $500.0 million in aggregate principal amount of 4.625% senior secured notes due 2028 (the "2028 Secur</w:t>
      </w:r>
      <w:r>
        <w:rPr>
          <w:rFonts w:ascii="Arial;sans-serif" w:hAnsi="Arial;sans-serif"/>
          <w:b w:val="false"/>
          <w:color w:val="000000"/>
          <w:sz w:val="18"/>
          <w:shd w:fill="FFFFFF" w:val="clear"/>
        </w:rPr>
        <w:t xml:space="preserve">ed Notes") </w:t>
      </w:r>
      <w:r>
        <w:rPr>
          <w:rFonts w:ascii="Arial;sans-serif" w:hAnsi="Arial;sans-serif"/>
          <w:b w:val="false"/>
          <w:color w:val="000000"/>
          <w:sz w:val="18"/>
        </w:rPr>
        <w:t>to qualified institutional buyers pursuant to Rule 144A</w:t>
      </w:r>
      <w:r>
        <w:rPr>
          <w:rFonts w:ascii="Arial;sans-serif" w:hAnsi="Arial;sans-serif"/>
          <w:b w:val="false"/>
          <w:color w:val="000000"/>
          <w:sz w:val="18"/>
          <w:shd w:fill="FFFFFF" w:val="clear"/>
        </w:rPr>
        <w:t xml:space="preserve">. </w:t>
      </w:r>
      <w:r>
        <w:rPr>
          <w:rFonts w:ascii="Arial;sans-serif" w:hAnsi="Arial;sans-serif"/>
          <w:b w:val="false"/>
          <w:color w:val="000000"/>
          <w:sz w:val="18"/>
        </w:rPr>
        <w:t>T</w:t>
      </w:r>
      <w:r>
        <w:rPr>
          <w:rFonts w:ascii="Arial;sans-serif" w:hAnsi="Arial;sans-serif"/>
          <w:b w:val="false"/>
          <w:color w:val="000000"/>
          <w:sz w:val="18"/>
          <w:shd w:fill="FFFFFF" w:val="clear"/>
        </w:rPr>
        <w:t xml:space="preserve">he 2028 Secured Notes mature on August 15, 2028 and bear interest at a rate of 4.625% per annum. Interest is payable semi-annually on August 15 and February 15 of each year. </w:t>
      </w:r>
      <w:r>
        <w:rPr>
          <w:rFonts w:ascii="Arial;sans-serif" w:hAnsi="Arial;sans-serif"/>
          <w:b w:val="false"/>
          <w:color w:val="000000"/>
          <w:sz w:val="18"/>
        </w:rPr>
        <w:t>Unamortized deferred financing costs pertaining to the 2028 Secured Notes were $5.5 million as of December 31, 2023.</w:t>
      </w:r>
    </w:p>
    <w:p>
      <w:pPr>
        <w:pStyle w:val="TextBody"/>
        <w:bidi w:val="0"/>
        <w:spacing w:lineRule="auto" w:line="288" w:before="0" w:after="60"/>
        <w:ind w:left="0" w:right="0" w:firstLine="720"/>
        <w:jc w:val="both"/>
        <w:rPr/>
      </w:pPr>
      <w:r>
        <w:rPr>
          <w:rFonts w:ascii="Arial;sans-serif" w:hAnsi="Arial;sans-serif"/>
          <w:b w:val="false"/>
          <w:color w:val="000000"/>
          <w:sz w:val="18"/>
        </w:rPr>
        <w:t>On September 25, 2023, the Company completed a private offering of $500.0 million in aggregate principal amount of 7.375% senior secured notes due 2031 (the "2031 Secur</w:t>
      </w:r>
      <w:r>
        <w:rPr>
          <w:rFonts w:ascii="Arial;sans-serif" w:hAnsi="Arial;sans-serif"/>
          <w:b w:val="false"/>
          <w:color w:val="000000"/>
          <w:sz w:val="18"/>
          <w:shd w:fill="FFFFFF" w:val="clear"/>
        </w:rPr>
        <w:t xml:space="preserve">ed Notes") </w:t>
      </w:r>
      <w:r>
        <w:rPr>
          <w:rFonts w:ascii="Arial;sans-serif" w:hAnsi="Arial;sans-serif"/>
          <w:b w:val="false"/>
          <w:color w:val="000000"/>
          <w:sz w:val="18"/>
        </w:rPr>
        <w:t>to qualified institutional buyers pursuant to Rule 144A</w:t>
      </w:r>
      <w:r>
        <w:rPr>
          <w:rFonts w:ascii="Arial;sans-serif" w:hAnsi="Arial;sans-serif"/>
          <w:b w:val="false"/>
          <w:color w:val="000000"/>
          <w:sz w:val="18"/>
          <w:shd w:fill="FFFFFF" w:val="clear"/>
        </w:rPr>
        <w:t>. P</w:t>
      </w:r>
      <w:r>
        <w:rPr>
          <w:rFonts w:ascii="Arial;sans-serif" w:hAnsi="Arial;sans-serif"/>
          <w:b w:val="false"/>
          <w:color w:val="000000"/>
          <w:sz w:val="18"/>
        </w:rPr>
        <w:t>roceeds were used to repay approximately $494.0 million of outstanding indebtedness under the ABL Facility and certain fees and expenses. T</w:t>
      </w:r>
      <w:r>
        <w:rPr>
          <w:rFonts w:ascii="Arial;sans-serif" w:hAnsi="Arial;sans-serif"/>
          <w:b w:val="false"/>
          <w:color w:val="000000"/>
          <w:sz w:val="18"/>
          <w:shd w:fill="FFFFFF" w:val="clear"/>
        </w:rPr>
        <w:t>he 2031 Secured N</w:t>
      </w:r>
      <w:r>
        <w:rPr>
          <w:rFonts w:ascii="Arial;sans-serif" w:hAnsi="Arial;sans-serif"/>
          <w:b w:val="false"/>
          <w:color w:val="000000"/>
          <w:sz w:val="18"/>
        </w:rPr>
        <w:t>otes mature on October 1, 2031 and bear interest at a rate of 7.375% per annum. Interest is payable semi-annually on April 1 and October 1 of each year, beginning April 1, 2024. Unamortized deferred financing costs pertaining to the 2031 Secured Notes were $6.3 million as of December 31, 2023.</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The tables below depict the redemption prices (expressed as percentages of the principal amount) of the notes if redeemed during the twelve-month period commencing on the dates below, plus accrued and unpaid interest, if any, to but not including the date of redemption.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94"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89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2025 Secured Notes</w:t>
      </w:r>
    </w:p>
    <w:tbl>
      <w:tblPr>
        <w:tblW w:w="4295" w:type="dxa"/>
        <w:jc w:val="left"/>
        <w:tblInd w:w="0" w:type="dxa"/>
        <w:tblLayout w:type="fixed"/>
        <w:tblCellMar>
          <w:top w:w="28" w:type="dxa"/>
          <w:left w:w="28" w:type="dxa"/>
          <w:bottom w:w="28" w:type="dxa"/>
          <w:right w:w="28" w:type="dxa"/>
        </w:tblCellMar>
      </w:tblPr>
      <w:tblGrid>
        <w:gridCol w:w="895"/>
        <w:gridCol w:w="785"/>
        <w:gridCol w:w="795"/>
        <w:gridCol w:w="413"/>
        <w:gridCol w:w="413"/>
        <w:gridCol w:w="994"/>
      </w:tblGrid>
      <w:tr>
        <w:trPr/>
        <w:tc>
          <w:tcPr>
            <w:tcW w:w="89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Year</w:t>
            </w:r>
          </w:p>
        </w:tc>
        <w:tc>
          <w:tcPr>
            <w:tcW w:w="18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Redemption Price</w:t>
            </w:r>
          </w:p>
        </w:tc>
      </w:tr>
      <w:tr>
        <w:trPr/>
        <w:tc>
          <w:tcPr>
            <w:tcW w:w="24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15, 2023</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101.531 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15, 2024 and thereafter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2028 Secured Notes</w:t>
      </w:r>
    </w:p>
    <w:tbl>
      <w:tblPr>
        <w:tblW w:w="4459" w:type="dxa"/>
        <w:jc w:val="left"/>
        <w:tblInd w:w="0" w:type="dxa"/>
        <w:tblLayout w:type="fixed"/>
        <w:tblCellMar>
          <w:top w:w="28" w:type="dxa"/>
          <w:left w:w="28" w:type="dxa"/>
          <w:bottom w:w="28" w:type="dxa"/>
          <w:right w:w="28" w:type="dxa"/>
        </w:tblCellMar>
      </w:tblPr>
      <w:tblGrid>
        <w:gridCol w:w="951"/>
        <w:gridCol w:w="837"/>
        <w:gridCol w:w="851"/>
        <w:gridCol w:w="413"/>
        <w:gridCol w:w="413"/>
        <w:gridCol w:w="994"/>
      </w:tblGrid>
      <w:tr>
        <w:trPr/>
        <w:tc>
          <w:tcPr>
            <w:tcW w:w="95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Year</w:t>
            </w:r>
          </w:p>
        </w:tc>
        <w:tc>
          <w:tcPr>
            <w:tcW w:w="18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Redemption Price</w:t>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15, 2023</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102.313 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15, 2024</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101.156 </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3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15, 2025 and thereafter</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2031 Secured Notes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may redeem the 2031 Secured Notes at any time before October 1, 2026 at a redemption price equal to 100% of the principal amount thereof, plus a customary make whole premium for the 2031 Secured Notes being redeemed, plus accrued and unpaid interest, if any, to but not including the redemption date. Before October 1, 2026, the Company may redeem up to 40% of the aggregate principal amount of the 2031 Secured Notes at a price equal to 107.375% of the principal amount of the 2031 Secured Notes being redeemed, plus accrued and unpaid interest, if any, to but not including the redemption date with the net proceeds of certain equity offerings. At any time prior to October 1, 2026, the Company may also redeem up to 10% of the aggregate principal amount at a redemption price equal to 103% of the principal amount of the 2031 Secured Notes being redeemed during each twelve-month period commencing with the issue date, plus accrued and unpaid interest, if any, to but not including the redemption date.</w:t>
      </w:r>
    </w:p>
    <w:tbl>
      <w:tblPr>
        <w:tblW w:w="4429" w:type="dxa"/>
        <w:jc w:val="left"/>
        <w:tblInd w:w="0" w:type="dxa"/>
        <w:tblLayout w:type="fixed"/>
        <w:tblCellMar>
          <w:top w:w="28" w:type="dxa"/>
          <w:left w:w="28" w:type="dxa"/>
          <w:bottom w:w="28" w:type="dxa"/>
          <w:right w:w="28" w:type="dxa"/>
        </w:tblCellMar>
      </w:tblPr>
      <w:tblGrid>
        <w:gridCol w:w="940"/>
        <w:gridCol w:w="828"/>
        <w:gridCol w:w="841"/>
        <w:gridCol w:w="413"/>
        <w:gridCol w:w="413"/>
        <w:gridCol w:w="994"/>
      </w:tblGrid>
      <w:tr>
        <w:trPr/>
        <w:tc>
          <w:tcPr>
            <w:tcW w:w="94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Year</w:t>
            </w:r>
          </w:p>
        </w:tc>
        <w:tc>
          <w:tcPr>
            <w:tcW w:w="182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Redemption Price</w:t>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2026</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103.688 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2027</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101.844 </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0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2028 and thereafter</w:t>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100.000 </w:t>
            </w:r>
          </w:p>
        </w:tc>
        <w:tc>
          <w:tcPr>
            <w:tcW w:w="99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2025 Secured Notes, the 2028 Secured Notes, and the 2031 Secured Notes (collectively, “the Secured Notes”) are unconditionally guaranteed by certain subsidiaries of the Company (collectively, “the Note Guarantors”). WillScot Mobile Mini is not a guarantor of the Secured Notes. The Note Guarantors are guarantors or borrowers under the ABL Facility. To the extent lenders under the ABL Facility release the guarantee of any Note Guarantor, such Note Guarantor will also be released from obligations under the Secured Notes. The Secured Notes and related guarantees are secured by a second priority security interest in substantially the same assets of Williams Scotsman, Inc., a wholly owned indirect subsidiary of the Company (“WSI”), and the Note Guarantors securing the ABL Facility. Upon the repayment of the 2025 Secured Notes and the 2028 Secured Notes, if the lien associated with the ABL Facility represents the only lien outstanding on the collateral under the 2031 Secured Notes (other than certain permitted), the collateral securing the 2031 Secured Notes will be released and the 2031 Secured Notes will become unsecured subject to satisfaction of customary conditions.</w:t>
      </w:r>
    </w:p>
    <w:p>
      <w:pPr>
        <w:pStyle w:val="TextBody"/>
        <w:bidi w:val="0"/>
        <w:spacing w:lineRule="auto" w:line="288" w:before="0" w:after="60"/>
        <w:jc w:val="both"/>
        <w:rPr>
          <w:rFonts w:ascii="Arial;sans-serif" w:hAnsi="Arial;sans-serif"/>
          <w:b/>
          <w:color w:val="000000"/>
          <w:sz w:val="20"/>
          <w:shd w:fill="FFFFFF" w:val="clear"/>
        </w:rPr>
      </w:pPr>
      <w:r>
        <w:rPr>
          <w:rFonts w:ascii="Arial;sans-serif" w:hAnsi="Arial;sans-serif"/>
          <w:b/>
          <w:color w:val="000000"/>
          <w:sz w:val="20"/>
          <w:shd w:fill="FFFFFF" w:val="clear"/>
        </w:rPr>
        <w:t xml:space="preserve">Finance Leases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maintains finance leases primarily related to transportation related equipment. At December 31, 2023 and December 31, 2022, obligations under the finance leases were $117.1 million and $74.4 million, respectively.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 in compliance with all debt covenants and restrictions for the aforementioned debt instruments for the year ended December 31,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11 - Equity</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Preferred Stock</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WillScot Mobile Mini's certificate of incorporation authorizes the issuance of 1,000,000 shares of Preferred Stock with a par value of $0.0001 per share. As of December 31, 2023 and 2022, the Company had zero shares of Preferred Stock issued and outstanding.</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Common Stock</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WillScot Mobile Mini's certificate of incorporation authorizes the issuance of 500,000,000 shares of Common Stock with a par value of $0.0001 per share. The Company had 189,967,135 shares of Common Stock issued and outstanding as of December 31, 2023. The outstanding shares of the Company's Common Stock are duly authorized, validly issued, fully paid and non-assessable.</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In connection with stock compensation vesting and stock option exercises described in Note 16, and the warrant exercises described in Note </w:t>
      </w:r>
      <w:r>
        <w:rPr>
          <w:rFonts w:ascii="Arial;sans-serif" w:hAnsi="Arial;sans-serif"/>
          <w:b w:val="false"/>
          <w:color w:val="1D2758"/>
          <w:sz w:val="18"/>
        </w:rPr>
        <w:t>12</w:t>
      </w:r>
      <w:r>
        <w:rPr>
          <w:rFonts w:ascii="Arial;sans-serif" w:hAnsi="Arial;sans-serif"/>
          <w:b w:val="false"/>
          <w:color w:val="000000"/>
          <w:sz w:val="18"/>
        </w:rPr>
        <w:t>, the Company issued 549,272, 3,847,905 and 6,752,647 shares of Common Stock during the years ended December 31, 2023, 2022 and 2021,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95"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Stock Repurchase Program</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May 2023, the Board of Directors approved a reset of the share repurchase program authorizing the Company to repurchase up to $1.0 billion of its outstanding shares of Common Stock and equivalents. The stock repurchase program does not obligate the Company to purchase any particular number of shares, and the timing and exact amount of any repurchases will depend on various factors, including market pricing, business, legal, accounting, and other considerations. The Company may repurchase its shares in open market transactions or through privately negotiated transactions in accordance with federal securities laws, at the Company's discretion. The repurchase program, which has no expiration date, may be increased, suspended, or terminated at any time. The program is expected to be implemented over the course of several years and will be conducted subject to the covenants in the agreements governing indebtedness.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August 2022, the Inflation Reduction Act of 2022 was enacted into law and imposed a nondeductible 1% excise tax on the net value of certain stock repurchases made after December 31, 2022. The Company reflected the applicable excise tax in equity as part of the cost basis of the stock repurchased and recorded a corresponding liability for the excise taxes payable in accrued expenses on the consolidated balance sheet.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During the year ended December 31, 2023, the Company repurchased 18,533,819 shares of Common Stock for $810.8 million. During the year ended December 31, 2022, the Company repurchased 19,854,424 shares of Common Stock and stock equivalents for $756.9 million. As of December 31, 2023, $498.2 million of the authorization for future repurchases of our common stock remained available. </w:t>
      </w:r>
    </w:p>
    <w:p>
      <w:pPr>
        <w:pStyle w:val="TextBody"/>
        <w:bidi w:val="0"/>
        <w:spacing w:lineRule="auto" w:line="288" w:before="0" w:after="60"/>
        <w:jc w:val="left"/>
        <w:rPr/>
      </w:pPr>
      <w:r>
        <w:rPr>
          <w:rFonts w:ascii="Arial;sans-serif" w:hAnsi="Arial;sans-serif"/>
          <w:b/>
          <w:color w:val="000000"/>
          <w:sz w:val="20"/>
          <w:shd w:fill="FFFFFF" w:val="clear"/>
        </w:rPr>
        <w:t>Accumulated Other Comprehen</w:t>
      </w:r>
      <w:r>
        <w:rPr>
          <w:rFonts w:ascii="Arial;sans-serif" w:hAnsi="Arial;sans-serif"/>
          <w:b/>
          <w:color w:val="000000"/>
          <w:sz w:val="20"/>
        </w:rPr>
        <w:t>sive Loss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changes in accumulated other comprehensive loss ("AOCI"), net of tax, for the years ended December 31, 2023, 2022 and 2021, were as follows:</w:t>
      </w:r>
    </w:p>
    <w:tbl>
      <w:tblPr>
        <w:tblW w:w="10205" w:type="dxa"/>
        <w:jc w:val="left"/>
        <w:tblInd w:w="0" w:type="dxa"/>
        <w:tblLayout w:type="fixed"/>
        <w:tblCellMar>
          <w:top w:w="28" w:type="dxa"/>
          <w:left w:w="28" w:type="dxa"/>
          <w:bottom w:w="28" w:type="dxa"/>
          <w:right w:w="28" w:type="dxa"/>
        </w:tblCellMar>
      </w:tblPr>
      <w:tblGrid>
        <w:gridCol w:w="1332"/>
        <w:gridCol w:w="1016"/>
        <w:gridCol w:w="1019"/>
        <w:gridCol w:w="395"/>
        <w:gridCol w:w="1475"/>
        <w:gridCol w:w="204"/>
        <w:gridCol w:w="109"/>
        <w:gridCol w:w="109"/>
        <w:gridCol w:w="109"/>
        <w:gridCol w:w="564"/>
        <w:gridCol w:w="2111"/>
        <w:gridCol w:w="292"/>
        <w:gridCol w:w="109"/>
        <w:gridCol w:w="109"/>
        <w:gridCol w:w="109"/>
        <w:gridCol w:w="211"/>
        <w:gridCol w:w="774"/>
        <w:gridCol w:w="158"/>
      </w:tblGrid>
      <w:tr>
        <w:trPr/>
        <w:tc>
          <w:tcPr>
            <w:tcW w:w="133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07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 xml:space="preserve">Foreign Currency Translation </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Unrealized (gains) losses on hedging activities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33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2020</w:t>
            </w:r>
          </w:p>
        </w:tc>
        <w:tc>
          <w:tcPr>
            <w:tcW w:w="3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(24,694)</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(12,513)</w:t>
            </w:r>
          </w:p>
        </w:tc>
        <w:tc>
          <w:tcPr>
            <w:tcW w:w="2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(37,207)</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before reclassifications</w:t>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Reclassifications from AOCI to income </w:t>
            </w:r>
            <w:r>
              <w:rPr>
                <w:rFonts w:ascii="Arial;sans-serif" w:hAnsi="Arial;sans-serif"/>
                <w:b w:val="false"/>
                <w:color w:val="000000"/>
                <w:sz w:val="12"/>
              </w:rPr>
              <w:t>(a)</w:t>
            </w:r>
          </w:p>
        </w:tc>
        <w:tc>
          <w:tcPr>
            <w:tcW w:w="18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12,001 </w:t>
            </w:r>
          </w:p>
        </w:tc>
        <w:tc>
          <w:tcPr>
            <w:tcW w:w="2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12,001 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vAlign w:val="center"/>
          </w:tcPr>
          <w:p>
            <w:pPr>
              <w:pStyle w:val="TableContents"/>
              <w:bidi w:val="0"/>
              <w:spacing w:before="0" w:after="283"/>
              <w:jc w:val="left"/>
              <w:rPr>
                <w:sz w:val="4"/>
                <w:szCs w:val="4"/>
              </w:rPr>
            </w:pPr>
            <w:r>
              <w:rPr>
                <w:sz w:val="4"/>
                <w:szCs w:val="4"/>
              </w:rPr>
            </w:r>
          </w:p>
        </w:tc>
        <w:tc>
          <w:tcPr>
            <w:tcW w:w="2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2021</w:t>
            </w:r>
          </w:p>
        </w:tc>
        <w:tc>
          <w:tcPr>
            <w:tcW w:w="1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(25,574)</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(3,497)</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(29,071)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before reclassifications</w:t>
            </w:r>
          </w:p>
        </w:tc>
        <w:tc>
          <w:tcPr>
            <w:tcW w:w="18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(44,548)</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w:t>
            </w:r>
          </w:p>
        </w:tc>
        <w:tc>
          <w:tcPr>
            <w:tcW w:w="2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(45,581)</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Reclassifications from AOCI to income </w:t>
            </w:r>
            <w:r>
              <w:rPr>
                <w:rFonts w:ascii="Arial;sans-serif" w:hAnsi="Arial;sans-serif"/>
                <w:b w:val="false"/>
                <w:color w:val="000000"/>
                <w:sz w:val="12"/>
              </w:rPr>
              <w:t>(a)</w:t>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187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20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(70,122)</w:t>
            </w:r>
          </w:p>
        </w:tc>
        <w:tc>
          <w:tcPr>
            <w:tcW w:w="15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before reclassifications</w:t>
            </w:r>
          </w:p>
        </w:tc>
        <w:tc>
          <w:tcPr>
            <w:tcW w:w="1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Reclassifications from AOCI to income </w:t>
            </w:r>
            <w:r>
              <w:rPr>
                <w:rFonts w:ascii="Arial;sans-serif" w:hAnsi="Arial;sans-serif"/>
                <w:b w:val="false"/>
                <w:color w:val="000000"/>
                <w:sz w:val="12"/>
              </w:rPr>
              <w:t>(a)</w:t>
            </w:r>
          </w:p>
        </w:tc>
        <w:tc>
          <w:tcPr>
            <w:tcW w:w="18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(11,550)</w:t>
            </w:r>
          </w:p>
        </w:tc>
        <w:tc>
          <w:tcPr>
            <w:tcW w:w="29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(11,550)</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(56,031)</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3,263 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(52,768)</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 For the years ended December 31, 2023, 2022 and 2021, $(11.6) million, $4.5 million and $12.0 million, respectively, was reclassified from AOCI into the consolidated statements of operations within interest expense related to the interest rate swaps discussed in Note 14. For the years ended December 31, 2023, 2022 and 2021, the Company recorded tax benefits of $2.9 million, $1.1 million and $3.0 million, respectively, associated with this reclassification.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12 - Warrants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Warrants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2015 Private Warrants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issued warrants to purchase its Common Stock in a private placement concurrently with its initial public offering (the “2015 Private Warrants”). The 2015 Private Warrants were purchased at a price of $0.50 per unit for an aggregate purchase price of $9.75 million. If held by certain original investors (or their permitted assignees), the 2015 Private Warrants could be exercised on a cashless basis and were not subject to redemption. </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During the year ended December 31, 2021, 3,055,000 of the 2015 Private Warrants were repurchased for $25.5 million and cancelled, and 9,655,000 warrants were exercised on a cashless basis, resulting in the issuance of 2,939,898 shares of Common Stock. As a result of these transactions, effective May 2021, no 2015 Private Warrants were outstanding.</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2018 Warrants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connection with the acquisition of Modular Space Holdings, Inc. ("ModSpace") in 2018, the Company issued warrants to purchase approximately 10.0 million shares of its Common Stock (the "2018 Warrants") to former shareholders of ModSpace. Each 2018 Warrant entitled the holder to purchase one share of Common Stock at an exercise price of $15.50 per share, subject to potential adjustment. The 2018 Warrants expired on November 29,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96"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During the year ended December 31, 2021, 254,373 of the 2018 Warrants were repurchased for $2.9 million and cancelled. In addition, during the year ended December 31, 2021, 5,397,695 of the 2018 Warrants were exercised on a cashless basis, resulting in the issuance of 2,835,968 shares of Common Stock. </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During the year ended December 31, 2022, 33,965 of the 2018 Warrants were repurchased for $0.6 million and cancelled. In addition, during the year ended December 31, 2022, </w:t>
      </w:r>
      <w:r>
        <w:rPr>
          <w:rFonts w:ascii="Arial;sans-serif" w:hAnsi="Arial;sans-serif"/>
          <w:b w:val="false"/>
          <w:color w:val="000000"/>
          <w:sz w:val="18"/>
        </w:rPr>
        <w:t>4,011,665</w:t>
      </w:r>
      <w:r>
        <w:rPr>
          <w:color w:val="000000"/>
          <w:shd w:fill="FFFFFF" w:val="clear"/>
        </w:rPr>
        <w:t xml:space="preserve"> </w:t>
      </w:r>
      <w:r>
        <w:rPr>
          <w:rFonts w:ascii="Arial;sans-serif" w:hAnsi="Arial;sans-serif"/>
          <w:b w:val="false"/>
          <w:color w:val="000000"/>
          <w:sz w:val="18"/>
          <w:shd w:fill="FFFFFF" w:val="clear"/>
        </w:rPr>
        <w:t xml:space="preserve">of the 2018 Warrants were exercised on a cashless basis, resulting in the issuance of </w:t>
      </w:r>
      <w:r>
        <w:rPr>
          <w:rFonts w:ascii="Arial;sans-serif" w:hAnsi="Arial;sans-serif"/>
          <w:b w:val="false"/>
          <w:color w:val="000000"/>
          <w:sz w:val="18"/>
        </w:rPr>
        <w:t>2,590,940</w:t>
      </w:r>
      <w:r>
        <w:rPr>
          <w:color w:val="000000"/>
          <w:shd w:fill="FFFFFF" w:val="clear"/>
        </w:rPr>
        <w:t xml:space="preserve"> </w:t>
      </w:r>
      <w:r>
        <w:rPr>
          <w:rFonts w:ascii="Arial;sans-serif" w:hAnsi="Arial;sans-serif"/>
          <w:b w:val="false"/>
          <w:color w:val="000000"/>
          <w:sz w:val="18"/>
          <w:shd w:fill="FFFFFF" w:val="clear"/>
        </w:rPr>
        <w:t xml:space="preserve">shares of Common Stock. The remaining 32,543 of 2018 Warrants expired on </w:t>
      </w:r>
      <w:r>
        <w:rPr>
          <w:rFonts w:ascii="Arial;sans-serif" w:hAnsi="Arial;sans-serif"/>
          <w:b w:val="false"/>
          <w:color w:val="000000"/>
          <w:sz w:val="18"/>
        </w:rPr>
        <w:t>November 29, 2022</w:t>
      </w:r>
      <w:r>
        <w:rPr>
          <w:rFonts w:ascii="Arial;sans-serif" w:hAnsi="Arial;sans-serif"/>
          <w:b w:val="false"/>
          <w:color w:val="000000"/>
          <w:sz w:val="18"/>
          <w:shd w:fill="FFFFFF" w:val="clear"/>
        </w:rPr>
        <w:t>. Effective November 29, 2022, no 2018 Warrants were outstanding.</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accounted for its warrants as follows: (i) the 2015 Private Warrants as liabilities through their final repurchase or exercise in May 2021 and (ii) subsequent to June 30, 2020, the 2018 Warrants were equity classified through their expiration in November 2022.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13 – Income Taxes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components of income tax expense from continuing operations for the years ended December 31, are comprised of the following:</w:t>
      </w:r>
    </w:p>
    <w:tbl>
      <w:tblPr>
        <w:tblW w:w="8352" w:type="dxa"/>
        <w:jc w:val="left"/>
        <w:tblInd w:w="0" w:type="dxa"/>
        <w:tblLayout w:type="fixed"/>
        <w:tblCellMar>
          <w:top w:w="28" w:type="dxa"/>
          <w:left w:w="28" w:type="dxa"/>
          <w:bottom w:w="28" w:type="dxa"/>
          <w:right w:w="28" w:type="dxa"/>
        </w:tblCellMar>
      </w:tblPr>
      <w:tblGrid>
        <w:gridCol w:w="1604"/>
        <w:gridCol w:w="1409"/>
        <w:gridCol w:w="1412"/>
        <w:gridCol w:w="211"/>
        <w:gridCol w:w="826"/>
        <w:gridCol w:w="109"/>
        <w:gridCol w:w="109"/>
        <w:gridCol w:w="109"/>
        <w:gridCol w:w="109"/>
        <w:gridCol w:w="211"/>
        <w:gridCol w:w="721"/>
        <w:gridCol w:w="109"/>
        <w:gridCol w:w="109"/>
        <w:gridCol w:w="109"/>
        <w:gridCol w:w="109"/>
        <w:gridCol w:w="211"/>
        <w:gridCol w:w="721"/>
        <w:gridCol w:w="154"/>
      </w:tblGrid>
      <w:tr>
        <w:trPr/>
        <w:tc>
          <w:tcPr>
            <w:tcW w:w="16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income tax expense from continuing operations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88,863 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36,528 </w:t>
            </w:r>
          </w:p>
        </w:tc>
        <w:tc>
          <w:tcPr>
            <w:tcW w:w="15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rPr>
        <w:t xml:space="preserve">Income tax expense from continuing operations differed from the amount computed by applying the US statutory income tax rate of </w:t>
      </w:r>
      <w:r>
        <w:rPr>
          <w:rFonts w:ascii="Arial;sans-serif" w:hAnsi="Arial;sans-serif"/>
          <w:b w:val="false"/>
          <w:color w:val="000000"/>
          <w:sz w:val="18"/>
          <w:shd w:fill="FFFFFF" w:val="clear"/>
        </w:rPr>
        <w:t xml:space="preserve">21% </w:t>
      </w:r>
      <w:r>
        <w:rPr>
          <w:rFonts w:ascii="Arial;sans-serif" w:hAnsi="Arial;sans-serif"/>
          <w:b w:val="false"/>
          <w:color w:val="000000"/>
          <w:sz w:val="18"/>
        </w:rPr>
        <w:t xml:space="preserve">to </w:t>
      </w:r>
      <w:r>
        <w:rPr>
          <w:rFonts w:ascii="Arial;sans-serif" w:hAnsi="Arial;sans-serif"/>
          <w:b w:val="false"/>
          <w:color w:val="000000"/>
          <w:sz w:val="18"/>
          <w:shd w:fill="FFFFFF" w:val="clear"/>
        </w:rPr>
        <w:t xml:space="preserve">the income from continuing operations before income taxes for the following reasons for the </w:t>
      </w:r>
      <w:r>
        <w:rPr>
          <w:rFonts w:ascii="Arial;sans-serif" w:hAnsi="Arial;sans-serif"/>
          <w:b w:val="false"/>
          <w:color w:val="000000"/>
          <w:sz w:val="18"/>
        </w:rPr>
        <w:t>years ended December 31,</w:t>
      </w:r>
      <w:r>
        <w:rPr>
          <w:rFonts w:ascii="Arial;sans-serif" w:hAnsi="Arial;sans-serif"/>
          <w:b w:val="false"/>
          <w:color w:val="000000"/>
          <w:sz w:val="18"/>
          <w:shd w:fill="FFFFFF" w:val="clear"/>
        </w:rPr>
        <w:t>:</w:t>
      </w:r>
    </w:p>
    <w:tbl>
      <w:tblPr>
        <w:tblW w:w="10173" w:type="dxa"/>
        <w:jc w:val="left"/>
        <w:tblInd w:w="0" w:type="dxa"/>
        <w:tblLayout w:type="fixed"/>
        <w:tblCellMar>
          <w:top w:w="28" w:type="dxa"/>
          <w:left w:w="28" w:type="dxa"/>
          <w:bottom w:w="28" w:type="dxa"/>
          <w:right w:w="28" w:type="dxa"/>
        </w:tblCellMar>
      </w:tblPr>
      <w:tblGrid>
        <w:gridCol w:w="2013"/>
        <w:gridCol w:w="1766"/>
        <w:gridCol w:w="1771"/>
        <w:gridCol w:w="211"/>
        <w:gridCol w:w="826"/>
        <w:gridCol w:w="271"/>
        <w:gridCol w:w="109"/>
        <w:gridCol w:w="109"/>
        <w:gridCol w:w="109"/>
        <w:gridCol w:w="211"/>
        <w:gridCol w:w="826"/>
        <w:gridCol w:w="271"/>
        <w:gridCol w:w="109"/>
        <w:gridCol w:w="109"/>
        <w:gridCol w:w="109"/>
        <w:gridCol w:w="211"/>
        <w:gridCol w:w="826"/>
        <w:gridCol w:w="316"/>
      </w:tblGrid>
      <w:tr>
        <w:trPr/>
        <w:tc>
          <w:tcPr>
            <w:tcW w:w="201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 before income tax</w:t>
            </w:r>
          </w:p>
        </w:tc>
        <w:tc>
          <w:tcPr>
            <w:tcW w:w="13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444,557 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23,862 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23,792 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13,501 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income from continuing operations before income tax</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468,419 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365,204 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151,423 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Federal statutory income tax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76,693 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31,798 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tax rates in foreign jurisdictions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income tax expense, net of federal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(6,907)</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(2,595)</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(non-taxable)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executive compensation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1,258 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Non-deductible remeasurement of common stock warrant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Uncertain tax positions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(11,748)</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Tax law changes (excluding valuation allowance) </w:t>
            </w:r>
            <w:r>
              <w:rPr>
                <w:rFonts w:ascii="Arial;sans-serif" w:hAnsi="Arial;sans-serif"/>
                <w:b w:val="false"/>
                <w:color w:val="000000"/>
                <w:sz w:val="12"/>
              </w:rPr>
              <w:t>(a)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3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expense from continuing operations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1037"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27.02 </w:t>
            </w:r>
          </w:p>
        </w:tc>
        <w:tc>
          <w:tcPr>
            <w:tcW w:w="27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24.33 </w:t>
            </w:r>
          </w:p>
        </w:tc>
        <w:tc>
          <w:tcPr>
            <w:tcW w:w="27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24.12 </w:t>
            </w:r>
          </w:p>
        </w:tc>
        <w:tc>
          <w:tcPr>
            <w:tcW w:w="31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120"/>
        <w:jc w:val="both"/>
        <w:rPr>
          <w:rFonts w:ascii="Arial;sans-serif" w:hAnsi="Arial;sans-serif"/>
          <w:b w:val="false"/>
          <w:color w:val="000000"/>
          <w:sz w:val="16"/>
        </w:rPr>
      </w:pPr>
      <w:r>
        <w:rPr>
          <w:rFonts w:ascii="Arial;sans-serif" w:hAnsi="Arial;sans-serif"/>
          <w:b w:val="false"/>
          <w:color w:val="000000"/>
          <w:sz w:val="16"/>
        </w:rPr>
        <w:t>(a) Tax law changes primarily represent changes in tax law in foreign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97"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Deferred Income Taxes</w:t>
      </w:r>
    </w:p>
    <w:p>
      <w:pPr>
        <w:pStyle w:val="TextBody"/>
        <w:bidi w:val="0"/>
        <w:spacing w:lineRule="auto" w:line="288" w:before="0" w:after="60"/>
        <w:ind w:left="0" w:right="0" w:firstLine="720"/>
        <w:jc w:val="both"/>
        <w:rPr/>
      </w:pPr>
      <w:r>
        <w:rPr>
          <w:rFonts w:ascii="Arial;sans-serif" w:hAnsi="Arial;sans-serif"/>
          <w:b w:val="false"/>
          <w:color w:val="000000"/>
          <w:sz w:val="18"/>
        </w:rPr>
        <w:t>Deferred income taxes reflect the net tax effects of temporary differences between the carrying amounts of assets and liabilities and their tax bases, as well as from net operating loss and carryforwards. Significa</w:t>
      </w:r>
      <w:r>
        <w:rPr>
          <w:rFonts w:ascii="Arial;sans-serif" w:hAnsi="Arial;sans-serif"/>
          <w:b w:val="false"/>
          <w:color w:val="000000"/>
          <w:sz w:val="18"/>
          <w:shd w:fill="FFFFFF" w:val="clear"/>
        </w:rPr>
        <w:t>nt components of the Company’s deferred tax assets and liabilities as of December 31, are as follows:</w:t>
      </w:r>
    </w:p>
    <w:tbl>
      <w:tblPr>
        <w:tblW w:w="7703" w:type="dxa"/>
        <w:jc w:val="left"/>
        <w:tblInd w:w="0" w:type="dxa"/>
        <w:tblLayout w:type="fixed"/>
        <w:tblCellMar>
          <w:top w:w="28" w:type="dxa"/>
          <w:left w:w="28" w:type="dxa"/>
          <w:bottom w:w="28" w:type="dxa"/>
          <w:right w:w="28" w:type="dxa"/>
        </w:tblCellMar>
      </w:tblPr>
      <w:tblGrid>
        <w:gridCol w:w="1772"/>
        <w:gridCol w:w="1556"/>
        <w:gridCol w:w="1561"/>
        <w:gridCol w:w="211"/>
        <w:gridCol w:w="901"/>
        <w:gridCol w:w="109"/>
        <w:gridCol w:w="109"/>
        <w:gridCol w:w="109"/>
        <w:gridCol w:w="109"/>
        <w:gridCol w:w="211"/>
        <w:gridCol w:w="901"/>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2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22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benefit plans</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59,740 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loss carryforwards</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233,133 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 gross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512,173 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Valuation allowance</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deferred income tax asset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509,928 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and other property, plant and equipment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(808,873)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(770,964)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 of use asset</w:t>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(61,653)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(59,258)</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gain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liability</w:t>
            </w:r>
          </w:p>
        </w:tc>
        <w:tc>
          <w:tcPr>
            <w:tcW w:w="11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(930,884)</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(941,303)</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deferred income tax liability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(554,268)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(431,375)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As of December 31, 2022, the net deferred income tax liability presented in the table above included net deferred tax liability of $29.7 million ($33.7 million of deferred tax liability, net of $4.0 million of deferred tax asset) related to the UK Storage Solutions segment and recorded in liabilities held for sale - non-current on the consolidated balance sheet.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Company's valuation allowance decreased by $0.8 million from 2022, related to a reduction to the valuation allowance on state NOL where the Company determined that it is more likely than not realizable due to sufficient current and future taxable income.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Tax loss carryforwards as of December 31, 2023 are outlined in the table below and include US Federal, US State and foreign (Canada and Mexico). The availability of these tax losses to offset future income varies by jurisdiction. Furthermore, the ability to utilize the tax losses may be subject to additional limitations upon the occurrence of certain events, such as a change in the ownership of the Company. Some of the Company’s tax attributes are subject to annual limitations due to historical changes in ownership from acquisitions, mergers or other related ownership shift events; however, the Company anticipates that our remaining available net operating losses will be consumed prior to their expiration.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Company’s tax loss carryforwards are as follows at December 31, 2023:</w:t>
      </w:r>
    </w:p>
    <w:tbl>
      <w:tblPr>
        <w:tblW w:w="6504" w:type="dxa"/>
        <w:jc w:val="left"/>
        <w:tblInd w:w="0" w:type="dxa"/>
        <w:tblLayout w:type="fixed"/>
        <w:tblCellMar>
          <w:top w:w="28" w:type="dxa"/>
          <w:left w:w="28" w:type="dxa"/>
          <w:bottom w:w="28" w:type="dxa"/>
          <w:right w:w="28" w:type="dxa"/>
        </w:tblCellMar>
      </w:tblPr>
      <w:tblGrid>
        <w:gridCol w:w="484"/>
        <w:gridCol w:w="425"/>
        <w:gridCol w:w="426"/>
        <w:gridCol w:w="232"/>
        <w:gridCol w:w="908"/>
        <w:gridCol w:w="121"/>
        <w:gridCol w:w="109"/>
        <w:gridCol w:w="109"/>
        <w:gridCol w:w="109"/>
        <w:gridCol w:w="249"/>
        <w:gridCol w:w="852"/>
        <w:gridCol w:w="128"/>
        <w:gridCol w:w="109"/>
        <w:gridCol w:w="109"/>
        <w:gridCol w:w="109"/>
        <w:gridCol w:w="593"/>
        <w:gridCol w:w="593"/>
        <w:gridCol w:w="839"/>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6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Loss</w:t>
              <w:br/>
              <w:t>Carryforward</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Deferred Tax</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Expiration</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Jurisdiction:</w:t>
            </w:r>
          </w:p>
        </w:tc>
        <w:tc>
          <w:tcPr>
            <w:tcW w:w="12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US - Federal </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465,179 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88,887 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2037, Indefinite</w:t>
            </w:r>
          </w:p>
        </w:tc>
      </w:tr>
      <w:tr>
        <w:trPr/>
        <w:tc>
          <w:tcPr>
            <w:tcW w:w="13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 State</w:t>
            </w:r>
          </w:p>
        </w:tc>
        <w:tc>
          <w:tcPr>
            <w:tcW w:w="114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240,335 </w:t>
            </w:r>
          </w:p>
        </w:tc>
        <w:tc>
          <w:tcPr>
            <w:tcW w:w="12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10,789 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 – 2042, Indefinite</w:t>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705,514 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99,676 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As of December 31, 2023, the total amount of the basis difference in investments outside the US, which are indefinitely reinvested and for which deferred taxes have not been provided, is approximately </w:t>
      </w:r>
      <w:r>
        <w:rPr>
          <w:rFonts w:ascii="Arial;sans-serif" w:hAnsi="Arial;sans-serif"/>
          <w:b w:val="false"/>
          <w:color w:val="000000"/>
          <w:sz w:val="18"/>
        </w:rPr>
        <w:t>$174.2 million</w:t>
      </w:r>
      <w:r>
        <w:rPr>
          <w:rFonts w:ascii="Arial;sans-serif" w:hAnsi="Arial;sans-serif"/>
          <w:b w:val="false"/>
          <w:color w:val="000000"/>
          <w:sz w:val="18"/>
          <w:shd w:fill="FFFFFF" w:val="clear"/>
        </w:rPr>
        <w:t>. The tax, if any, associated with the recovery of the basis difference is dependent on the manner in which it is recovered and is not readily determinable.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98"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left"/>
        <w:rPr>
          <w:rFonts w:ascii="Arial;sans-serif" w:hAnsi="Arial;sans-serif"/>
          <w:b/>
          <w:color w:val="000000"/>
          <w:sz w:val="20"/>
          <w:shd w:fill="FFFFFF" w:val="clear"/>
        </w:rPr>
      </w:pPr>
      <w:r>
        <w:rPr>
          <w:rFonts w:ascii="Arial;sans-serif" w:hAnsi="Arial;sans-serif"/>
          <w:b/>
          <w:color w:val="000000"/>
          <w:sz w:val="20"/>
          <w:shd w:fill="FFFFFF" w:val="clear"/>
        </w:rPr>
        <w:t>Unrecognized Tax Positions</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The Company is subject to taxation in US, Canada, Mexico,</w:t>
      </w:r>
      <w:r>
        <w:rPr>
          <w:color w:val="000000"/>
        </w:rPr>
        <w:t xml:space="preserve"> </w:t>
      </w:r>
      <w:r>
        <w:rPr>
          <w:rFonts w:ascii="Arial;sans-serif" w:hAnsi="Arial;sans-serif"/>
          <w:b w:val="false"/>
          <w:color w:val="000000"/>
          <w:sz w:val="18"/>
          <w:shd w:fill="FFFFFF" w:val="clear"/>
        </w:rPr>
        <w:t xml:space="preserve">and state jurisdictions. The Company’s tax returns are subject to examination by the applicable tax authorities prior to the expiration of statute of limitations for assessing additional taxes, which generally ranges from two to five years after the end of the applicable tax year. As of December 31, 2023, generally, tax years for </w:t>
      </w:r>
      <w:r>
        <w:rPr>
          <w:rFonts w:ascii="Arial;sans-serif" w:hAnsi="Arial;sans-serif"/>
          <w:b w:val="false"/>
          <w:color w:val="000000"/>
          <w:sz w:val="18"/>
        </w:rPr>
        <w:t>2016 through 2022</w:t>
      </w:r>
      <w:r>
        <w:rPr>
          <w:color w:val="000000"/>
          <w:shd w:fill="FFFFFF" w:val="clear"/>
        </w:rPr>
        <w:t xml:space="preserve"> </w:t>
      </w:r>
      <w:r>
        <w:rPr>
          <w:rFonts w:ascii="Arial;sans-serif" w:hAnsi="Arial;sans-serif"/>
          <w:b w:val="false"/>
          <w:color w:val="000000"/>
          <w:sz w:val="18"/>
          <w:shd w:fill="FFFFFF" w:val="clear"/>
        </w:rPr>
        <w:t>remain subject to examination by the tax authorities. In addition, in certain taxing jurisdictions, in the case of carryover tax attributes to years open for assessment, such attributes may be subject to reduction by taxing authorities.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 reconciliation of the beginning and ending amount of unrecognized tax benefits is as follows:</w:t>
      </w:r>
    </w:p>
    <w:tbl>
      <w:tblPr>
        <w:tblW w:w="8412" w:type="dxa"/>
        <w:jc w:val="left"/>
        <w:tblInd w:w="0" w:type="dxa"/>
        <w:tblLayout w:type="fixed"/>
        <w:tblCellMar>
          <w:top w:w="28" w:type="dxa"/>
          <w:left w:w="28" w:type="dxa"/>
          <w:bottom w:w="28" w:type="dxa"/>
          <w:right w:w="28" w:type="dxa"/>
        </w:tblCellMar>
      </w:tblPr>
      <w:tblGrid>
        <w:gridCol w:w="1663"/>
        <w:gridCol w:w="1458"/>
        <w:gridCol w:w="1469"/>
        <w:gridCol w:w="211"/>
        <w:gridCol w:w="721"/>
        <w:gridCol w:w="109"/>
        <w:gridCol w:w="109"/>
        <w:gridCol w:w="109"/>
        <w:gridCol w:w="109"/>
        <w:gridCol w:w="211"/>
        <w:gridCol w:w="721"/>
        <w:gridCol w:w="109"/>
        <w:gridCol w:w="109"/>
        <w:gridCol w:w="109"/>
        <w:gridCol w:w="109"/>
        <w:gridCol w:w="211"/>
        <w:gridCol w:w="721"/>
        <w:gridCol w:w="154"/>
      </w:tblGrid>
      <w:tr>
        <w:trPr/>
        <w:tc>
          <w:tcPr>
            <w:tcW w:w="166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45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 – January 1,</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54,494 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Increases based on tax positions related to prior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from expiration of statute of limitations</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(10,189)</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Unrecognized tax benefits – December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720"/>
        <w:jc w:val="both"/>
        <w:rPr/>
      </w:pPr>
      <w:r>
        <w:rPr>
          <w:rFonts w:ascii="Arial;sans-serif" w:hAnsi="Arial;sans-serif"/>
          <w:b w:val="false"/>
          <w:color w:val="000000"/>
          <w:sz w:val="18"/>
          <w:shd w:fill="FFFFFF" w:val="clear"/>
        </w:rPr>
        <w:t>At December 31, 2023, 2022 and 2021, respective</w:t>
      </w:r>
      <w:r>
        <w:rPr>
          <w:rFonts w:ascii="Arial;sans-serif" w:hAnsi="Arial;sans-serif"/>
          <w:b w:val="false"/>
          <w:color w:val="000000"/>
          <w:sz w:val="18"/>
        </w:rPr>
        <w:t>ly, there were $41.8 million, $42.3 million and $43.3 million of unrecognized tax benefits that, if recognized, would affect the annual effective tax rate.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classifies interest on tax deficiencies and income tax penalties within income tax expense. During the years ended December 31, 2022 and 2021, the Company recognized approximately $0.1 million, and $1.0 million in interest, respectively. The Company accrued approximately $0.4 million for the payment of interest at both December 31, 2023 and 2022.</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Future tax settlements or statute of limitation expirations could result in a change to the Company’s uncertain tax positions. As of December 31, 2023, the Company believes that it is reasonably possible that approximately $0.7 million of unrecognized tax benefits could decrease in the next twelve months as a result of the expiration of statutes of limitation, audit settlements or resolution of tax uncertainties.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14 - Derivatives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Interest Rate Swaps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2018, the Company entered into an interest rate swap agreement (the “Swap Agreement”) with a financial counterparty that effectively converted $400.0 million in aggregate notional amount of variable-rate debt under the Company’s ABL Facility into fixed-rate debt. Under the terms of the Swap Agreement, the Company received a floating rate equal to one-month LIBOR and made payments based on a fixed rate of 3.06% on the notional amount. The Swap Agreement was designated and qualified as a hedge of the Company’s exposure to changes in interest payment cash flows created by fluctuations in variable interest rates on the ABL Facility. The Swap Agreement terminated on May 29, 2022.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January 2023, the Company entered into two interest rate swap agreements with financial counterparties relating to $750.0 million in aggregate notional amount of variable-rate debt under the Company’s ABL Facility. Under the terms of the agreements, the Company receives a floating rate equal to one-month term SOFR and makes payments based on a weighted average fixed interest rate of 3.44% on the notional amount. The swap agreements were designated and qualified as hedges of the Company’s exposure to changes in interest payment cash flows created by fluctuations in variable interest rates on the ABL Facility. The swap agreements terminate on June 30, 2027. The floating rate that the Company receives under the terms of these swap agreements was 5.36% at December 31, 2023.</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location and the fair value of derivative instruments designated as hedges were as follows:</w:t>
      </w:r>
    </w:p>
    <w:tbl>
      <w:tblPr>
        <w:tblW w:w="6379" w:type="dxa"/>
        <w:jc w:val="left"/>
        <w:tblInd w:w="0" w:type="dxa"/>
        <w:tblLayout w:type="fixed"/>
        <w:tblCellMar>
          <w:top w:w="28" w:type="dxa"/>
          <w:left w:w="28" w:type="dxa"/>
          <w:bottom w:w="28" w:type="dxa"/>
          <w:right w:w="28" w:type="dxa"/>
        </w:tblCellMar>
      </w:tblPr>
      <w:tblGrid>
        <w:gridCol w:w="625"/>
        <w:gridCol w:w="549"/>
        <w:gridCol w:w="550"/>
        <w:gridCol w:w="1198"/>
        <w:gridCol w:w="1198"/>
        <w:gridCol w:w="1203"/>
        <w:gridCol w:w="211"/>
        <w:gridCol w:w="691"/>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35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Balance Sheet Location</w:t>
            </w:r>
          </w:p>
        </w:tc>
        <w:tc>
          <w:tcPr>
            <w:tcW w:w="105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r>
      <w:tr>
        <w:trPr/>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Hedges:</w:t>
            </w:r>
          </w:p>
        </w:tc>
        <w:tc>
          <w:tcPr>
            <w:tcW w:w="35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w:t>
            </w:r>
          </w:p>
        </w:tc>
        <w:tc>
          <w:tcPr>
            <w:tcW w:w="35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(4,595)</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Over the next twelve months, the Company expects to reclassify $9.1 million, net of tax, from accumulated other comprehensive loss into the consolidated statements of operations within interest expense related to the interest rate swaps. </w:t>
      </w:r>
    </w:p>
    <w:p>
      <w:pPr>
        <w:pStyle w:val="TextBody"/>
        <w:bidi w:val="0"/>
        <w:spacing w:lineRule="auto" w:line="276"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fair value of the interest rate swaps was based on dealer quotes of market forward rates, a Level 2 input on the fair value hierarchy, and reflected the amount that the Company would receive or pay for contracts involving the same attributes and maturity 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99"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94</w:t>
                      </w:r>
                    </w:p>
                  </w:txbxContent>
                </v:textbox>
                <w10:wrap type="none"/>
              </v:rect>
            </w:pict>
          </mc:Fallback>
        </mc:AlternateContent>
      </w:r>
    </w:p>
    <w:p>
      <w:pPr>
        <w:pStyle w:val="TextBody"/>
        <w:bidi w:val="0"/>
        <w:spacing w:before="0" w:after="60"/>
        <w:jc w:val="left"/>
        <w:rPr/>
      </w:pPr>
      <w:r>
        <w:rPr/>
      </w:r>
    </w:p>
    <w:p>
      <w:pPr>
        <w:pStyle w:val="TextBody"/>
        <w:bidi w:val="0"/>
        <w:spacing w:lineRule="auto" w:line="276"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discloses the impact of the interest rate swaps, excluding the impact of income taxes, on other comprehensive income (“OCI”), AOCI and the Company’s statement of operations for the years ended December 31:</w:t>
      </w:r>
    </w:p>
    <w:tbl>
      <w:tblPr>
        <w:tblW w:w="9950" w:type="dxa"/>
        <w:jc w:val="left"/>
        <w:tblInd w:w="0" w:type="dxa"/>
        <w:tblLayout w:type="fixed"/>
        <w:tblCellMar>
          <w:top w:w="28" w:type="dxa"/>
          <w:left w:w="28" w:type="dxa"/>
          <w:bottom w:w="28" w:type="dxa"/>
          <w:right w:w="28" w:type="dxa"/>
        </w:tblCellMar>
      </w:tblPr>
      <w:tblGrid>
        <w:gridCol w:w="1398"/>
        <w:gridCol w:w="1226"/>
        <w:gridCol w:w="1230"/>
        <w:gridCol w:w="340"/>
        <w:gridCol w:w="1284"/>
        <w:gridCol w:w="175"/>
        <w:gridCol w:w="109"/>
        <w:gridCol w:w="109"/>
        <w:gridCol w:w="109"/>
        <w:gridCol w:w="405"/>
        <w:gridCol w:w="1185"/>
        <w:gridCol w:w="209"/>
        <w:gridCol w:w="109"/>
        <w:gridCol w:w="109"/>
        <w:gridCol w:w="109"/>
        <w:gridCol w:w="358"/>
        <w:gridCol w:w="1225"/>
        <w:gridCol w:w="261"/>
      </w:tblGrid>
      <w:tr>
        <w:trPr/>
        <w:tc>
          <w:tcPr>
            <w:tcW w:w="139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7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recognized in OCI</w:t>
            </w:r>
          </w:p>
        </w:tc>
        <w:tc>
          <w:tcPr>
            <w:tcW w:w="34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15,901 </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4,669 </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11,677 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Location of gain (loss) recognized in income</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Interest expense, net</w:t>
            </w:r>
          </w:p>
        </w:tc>
      </w:tr>
      <w:tr>
        <w:trPr/>
        <w:tc>
          <w:tcPr>
            <w:tcW w:w="38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reclassified from AOCI into income</w:t>
            </w:r>
          </w:p>
        </w:tc>
        <w:tc>
          <w:tcPr>
            <w:tcW w:w="34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8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(11,550)</w:t>
            </w:r>
          </w:p>
        </w:tc>
        <w:tc>
          <w:tcPr>
            <w:tcW w:w="17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4,530 </w:t>
            </w:r>
          </w:p>
        </w:tc>
        <w:tc>
          <w:tcPr>
            <w:tcW w:w="2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12,001 </w:t>
            </w:r>
          </w:p>
        </w:tc>
        <w:tc>
          <w:tcPr>
            <w:tcW w:w="26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color w:val="000000"/>
          <w:sz w:val="20"/>
        </w:rPr>
      </w:pPr>
      <w:r>
        <w:rPr>
          <w:rFonts w:ascii="Arial;sans-serif" w:hAnsi="Arial;sans-serif"/>
          <w:b/>
          <w:color w:val="000000"/>
          <w:sz w:val="20"/>
        </w:rPr>
        <w:t>Foreign Currency Contract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December 2022, the Company executed a contingent forward contract to sell £330.0 million upon the closing of the sale of the former UK Storage Solutions segment at a price ranging from 1.20550 to 1.20440 USD to British Pounds Sterling. The price was dependent upon the date of the closing of the sale. This contract, which was to expire on September 11, 2023, mitigated the foreign currency risk of the USD relative to the British Pound Sterling prior to the closing of the sale of the former UK Storage Solutions segment. This contract did not qualify for hedge accounting and was revalued at fair value at the reporting date with unrealized gains and losses reflected in the Company's results of operations. Upon the closing of the sale of the UK Storage Solutions segment on January 31, 2023, the Company settled the contingent forward contract and received cash at an exchange rate of 1.205 USD to British Pounds Sterling.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location and the fair value of the foreign currency contract in the consolidated balance sheet as of December 31, 2022 was as follows:</w:t>
      </w:r>
    </w:p>
    <w:tbl>
      <w:tblPr>
        <w:tblW w:w="5150" w:type="dxa"/>
        <w:jc w:val="left"/>
        <w:tblInd w:w="0" w:type="dxa"/>
        <w:tblLayout w:type="fixed"/>
        <w:tblCellMar>
          <w:top w:w="28" w:type="dxa"/>
          <w:left w:w="28" w:type="dxa"/>
          <w:bottom w:w="28" w:type="dxa"/>
          <w:right w:w="28" w:type="dxa"/>
        </w:tblCellMar>
      </w:tblPr>
      <w:tblGrid>
        <w:gridCol w:w="794"/>
        <w:gridCol w:w="697"/>
        <w:gridCol w:w="698"/>
        <w:gridCol w:w="709"/>
        <w:gridCol w:w="709"/>
        <w:gridCol w:w="712"/>
        <w:gridCol w:w="211"/>
        <w:gridCol w:w="46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213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Balance Sheet Location</w:t>
            </w:r>
          </w:p>
        </w:tc>
        <w:tc>
          <w:tcPr>
            <w:tcW w:w="83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r>
      <w:tr>
        <w:trPr/>
        <w:tc>
          <w:tcPr>
            <w:tcW w:w="218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 Contracts:</w:t>
            </w:r>
          </w:p>
        </w:tc>
        <w:tc>
          <w:tcPr>
            <w:tcW w:w="21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contract</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fair value of the foreign currency contract was based on dealer quotes of market forward rates, a Level 2 input on the fair value hierarchy, and reflected the amount that the Company would receive or pay for contracts involving the same attributes and maturity dates. </w:t>
      </w:r>
    </w:p>
    <w:p>
      <w:pPr>
        <w:pStyle w:val="TextBody"/>
        <w:bidi w:val="0"/>
        <w:spacing w:lineRule="auto" w:line="276"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discloses the impact of the foreign currency contract, excluding the impact of income taxes, on the Company’s statement of operations for the years ended December 31:</w:t>
      </w:r>
    </w:p>
    <w:tbl>
      <w:tblPr>
        <w:tblW w:w="6779" w:type="dxa"/>
        <w:jc w:val="left"/>
        <w:tblInd w:w="0" w:type="dxa"/>
        <w:tblLayout w:type="fixed"/>
        <w:tblCellMar>
          <w:top w:w="28" w:type="dxa"/>
          <w:left w:w="28" w:type="dxa"/>
          <w:bottom w:w="28" w:type="dxa"/>
          <w:right w:w="28" w:type="dxa"/>
        </w:tblCellMar>
      </w:tblPr>
      <w:tblGrid>
        <w:gridCol w:w="1158"/>
        <w:gridCol w:w="1017"/>
        <w:gridCol w:w="1020"/>
        <w:gridCol w:w="399"/>
        <w:gridCol w:w="1165"/>
        <w:gridCol w:w="206"/>
        <w:gridCol w:w="459"/>
        <w:gridCol w:w="1017"/>
        <w:gridCol w:w="338"/>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77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181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r>
      <w:tr>
        <w:trPr/>
        <w:tc>
          <w:tcPr>
            <w:tcW w:w="31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recognized in income</w:t>
            </w:r>
          </w:p>
        </w:tc>
        <w:tc>
          <w:tcPr>
            <w:tcW w:w="39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7,715 </w:t>
            </w:r>
          </w:p>
        </w:tc>
        <w:tc>
          <w:tcPr>
            <w:tcW w:w="20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930 </w:t>
            </w:r>
          </w:p>
        </w:tc>
        <w:tc>
          <w:tcPr>
            <w:tcW w:w="33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Location of loss recognized in income</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Currency losses, net</w:t>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Currency losses, net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15 - Fair Value Measures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fair value of financial assets and liabilities are included at the amount at which the instrument could be exchanged in a current transaction between willing parties, other than in a forced or liquidation sale.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Company utilizes the suggested accounting guidance for the three levels of inputs that may be used to measure fair value:</w:t>
      </w:r>
    </w:p>
    <w:tbl>
      <w:tblPr>
        <w:tblW w:w="10205" w:type="dxa"/>
        <w:jc w:val="left"/>
        <w:tblInd w:w="0" w:type="dxa"/>
        <w:tblLayout w:type="fixed"/>
        <w:tblCellMar>
          <w:top w:w="28" w:type="dxa"/>
          <w:left w:w="28" w:type="dxa"/>
          <w:bottom w:w="28" w:type="dxa"/>
          <w:right w:w="28" w:type="dxa"/>
        </w:tblCellMar>
      </w:tblPr>
      <w:tblGrid>
        <w:gridCol w:w="288"/>
        <w:gridCol w:w="251"/>
        <w:gridCol w:w="254"/>
        <w:gridCol w:w="2773"/>
        <w:gridCol w:w="2748"/>
        <w:gridCol w:w="3891"/>
      </w:tblGrid>
      <w:tr>
        <w:trPr/>
        <w:tc>
          <w:tcPr>
            <w:tcW w:w="2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3891"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1 -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Observable inputs such as quoted prices in active markets for identical assets or liabilities;</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2 -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Observable inputs, other than Level 1 inputs in active markets, that are observable either directly or indirectly; and</w:t>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3 -</w:t>
            </w:r>
          </w:p>
        </w:tc>
        <w:tc>
          <w:tcPr>
            <w:tcW w:w="9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Unobservable inputs for which there is little or no market data, which require the reporting entity to develop its own assumptions</w:t>
            </w:r>
          </w:p>
        </w:tc>
      </w:tr>
    </w:tbl>
    <w:p>
      <w:pPr>
        <w:pStyle w:val="TextBody"/>
        <w:bidi w:val="0"/>
        <w:spacing w:lineRule="auto" w:line="288" w:before="12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has assessed that the fair value of cash and short-term deposits, trade receivables, trade payables, capital lease and other financing obligations, and other current liabilities approximate their carrying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00"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shows the carrying amounts and fair values of financial assets and liabilities, including their levels in the fair value hierarchy:</w:t>
      </w:r>
    </w:p>
    <w:tbl>
      <w:tblPr>
        <w:tblW w:w="10205" w:type="dxa"/>
        <w:jc w:val="left"/>
        <w:tblInd w:w="0" w:type="dxa"/>
        <w:tblLayout w:type="fixed"/>
        <w:tblCellMar>
          <w:top w:w="28" w:type="dxa"/>
          <w:left w:w="28" w:type="dxa"/>
          <w:bottom w:w="28" w:type="dxa"/>
          <w:right w:w="28" w:type="dxa"/>
        </w:tblCellMar>
      </w:tblPr>
      <w:tblGrid>
        <w:gridCol w:w="592"/>
        <w:gridCol w:w="520"/>
        <w:gridCol w:w="521"/>
        <w:gridCol w:w="246"/>
        <w:gridCol w:w="1141"/>
        <w:gridCol w:w="127"/>
        <w:gridCol w:w="211"/>
        <w:gridCol w:w="406"/>
        <w:gridCol w:w="109"/>
        <w:gridCol w:w="211"/>
        <w:gridCol w:w="976"/>
        <w:gridCol w:w="109"/>
        <w:gridCol w:w="211"/>
        <w:gridCol w:w="406"/>
        <w:gridCol w:w="109"/>
        <w:gridCol w:w="246"/>
        <w:gridCol w:w="1141"/>
        <w:gridCol w:w="127"/>
        <w:gridCol w:w="211"/>
        <w:gridCol w:w="406"/>
        <w:gridCol w:w="109"/>
        <w:gridCol w:w="211"/>
        <w:gridCol w:w="976"/>
        <w:gridCol w:w="109"/>
        <w:gridCol w:w="211"/>
        <w:gridCol w:w="406"/>
        <w:gridCol w:w="157"/>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3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12"/>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2023</w:t>
            </w:r>
          </w:p>
        </w:tc>
        <w:tc>
          <w:tcPr>
            <w:tcW w:w="4310" w:type="dxa"/>
            <w:gridSpan w:val="12"/>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December 31, 2022</w:t>
            </w:r>
          </w:p>
        </w:tc>
      </w:tr>
      <w:tr>
        <w:trPr/>
        <w:tc>
          <w:tcPr>
            <w:tcW w:w="1633"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Carrying Amount</w:t>
            </w:r>
          </w:p>
        </w:tc>
        <w:tc>
          <w:tcPr>
            <w:tcW w:w="2748"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Fair Value</w:t>
            </w:r>
          </w:p>
        </w:tc>
        <w:tc>
          <w:tcPr>
            <w:tcW w:w="1514" w:type="dxa"/>
            <w:gridSpan w:val="3"/>
            <w:vMerge w:val="restart"/>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Carrying Amount</w:t>
            </w:r>
          </w:p>
        </w:tc>
        <w:tc>
          <w:tcPr>
            <w:tcW w:w="2796" w:type="dxa"/>
            <w:gridSpan w:val="9"/>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Fair Value</w:t>
            </w:r>
          </w:p>
        </w:tc>
      </w:tr>
      <w:tr>
        <w:trPr/>
        <w:tc>
          <w:tcPr>
            <w:tcW w:w="163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51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72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Level 1</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Level 2</w:t>
            </w:r>
          </w:p>
        </w:tc>
        <w:tc>
          <w:tcPr>
            <w:tcW w:w="72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Level 3</w:t>
            </w:r>
          </w:p>
        </w:tc>
        <w:tc>
          <w:tcPr>
            <w:tcW w:w="1514" w:type="dxa"/>
            <w:gridSpan w:val="3"/>
            <w:vMerge w:val="continue"/>
            <w:tcBorders/>
            <w:shd w:fill="1D2758" w:val="clear"/>
            <w:tcMar>
              <w:top w:w="0" w:type="dxa"/>
              <w:left w:w="0" w:type="dxa"/>
              <w:bottom w:w="0" w:type="dxa"/>
              <w:right w:w="0" w:type="dxa"/>
            </w:tcMar>
            <w:vAlign w:val="center"/>
          </w:tcPr>
          <w:p>
            <w:pPr>
              <w:pStyle w:val="Normal"/>
              <w:bidi w:val="0"/>
              <w:jc w:val="left"/>
              <w:rPr/>
            </w:pPr>
            <w:r>
              <w:rPr/>
            </w:r>
          </w:p>
        </w:tc>
        <w:tc>
          <w:tcPr>
            <w:tcW w:w="72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Level 1</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Level 2</w:t>
            </w:r>
          </w:p>
        </w:tc>
        <w:tc>
          <w:tcPr>
            <w:tcW w:w="77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Level 3</w:t>
            </w:r>
          </w:p>
        </w:tc>
      </w:tr>
      <w:tr>
        <w:trPr/>
        <w:tc>
          <w:tcPr>
            <w:tcW w:w="16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2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1,929,259 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1,956,011 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1,988,176 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Secured Notes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522,735 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520,350 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 Secured Notes</w:t>
            </w:r>
          </w:p>
        </w:tc>
        <w:tc>
          <w:tcPr>
            <w:tcW w:w="13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494,500 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474,285 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493,470 </w:t>
            </w:r>
          </w:p>
        </w:tc>
        <w:tc>
          <w:tcPr>
            <w:tcW w:w="12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450,135 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 Secured Notes</w:t>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493,709 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3,440,203 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3,485,392 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3,001,996 </w:t>
            </w:r>
          </w:p>
        </w:tc>
        <w:tc>
          <w:tcPr>
            <w:tcW w:w="12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2,996,935 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720"/>
        <w:jc w:val="both"/>
        <w:rPr>
          <w:rFonts w:ascii="Arial;sans-serif" w:hAnsi="Arial;sans-serif"/>
          <w:b w:val="false"/>
          <w:color w:val="000000"/>
          <w:sz w:val="18"/>
        </w:rPr>
      </w:pPr>
      <w:r>
        <w:rPr>
          <w:rFonts w:ascii="Arial;sans-serif" w:hAnsi="Arial;sans-serif"/>
          <w:b w:val="false"/>
          <w:color w:val="000000"/>
          <w:sz w:val="18"/>
        </w:rPr>
        <w:t>As of December 31, 2023, the carrying values of the ABL Facility, the 2025 Secured Notes, the 2028 Secured Notes, and the 2031 Secured Notes included $26.8 million, $3.8 million, $5.5 million, and $6.3 million, respectively, of unamortized debt issuance costs, which were presented as a direct reduction of the corresponding liability. As of December 31, 2022, the carrying values of the ABL Facility, the 2025 Secured Notes, and the 2028 Secured Notes included $31.8 million, $6.2 million, and $6.5 million, respectively, of unamortized debt issuance costs which were presented as a direct reduction of the corresponding liability.</w:t>
      </w:r>
    </w:p>
    <w:p>
      <w:pPr>
        <w:pStyle w:val="TextBody"/>
        <w:bidi w:val="0"/>
        <w:spacing w:lineRule="auto" w:line="288" w:before="0" w:after="60"/>
        <w:ind w:left="0" w:right="0" w:firstLine="720"/>
        <w:jc w:val="both"/>
        <w:rPr/>
      </w:pPr>
      <w:r>
        <w:rPr>
          <w:rFonts w:ascii="Arial;sans-serif" w:hAnsi="Arial;sans-serif"/>
          <w:b w:val="false"/>
          <w:color w:val="000000"/>
          <w:sz w:val="18"/>
        </w:rPr>
        <w:t>There were no transfers of financial instruments between the three levels of the fair value hierarchy during the years ended December 31, 2023 a</w:t>
      </w:r>
      <w:r>
        <w:rPr>
          <w:rFonts w:ascii="Arial;sans-serif" w:hAnsi="Arial;sans-serif"/>
          <w:b w:val="false"/>
          <w:color w:val="000000"/>
          <w:sz w:val="18"/>
          <w:shd w:fill="FFFFFF" w:val="clear"/>
        </w:rPr>
        <w:t>nd 2022. The carrying value of the ABL Facility, excluding debt issuance costs, approximates fair value as the interest rates are variable and reflective of market rates. The fair values of the 2025 Secured Notes, the 2028 Secured Notes, and the 2031 Secured Notes are based on their last trading price at the end of each period obtained from a third party. The loca</w:t>
      </w:r>
      <w:r>
        <w:rPr>
          <w:rFonts w:ascii="Arial;sans-serif" w:hAnsi="Arial;sans-serif"/>
          <w:b w:val="false"/>
          <w:color w:val="000000"/>
          <w:sz w:val="18"/>
        </w:rPr>
        <w:t>tion and the fair value of derivative assets and liabilities in the consolidated balance sheet are disclosed in Note 14.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shd w:fill="FFFFFF" w:val="clear"/>
        </w:rPr>
      </w:pPr>
      <w:r>
        <w:rPr>
          <w:rFonts w:ascii="Arial;sans-serif" w:hAnsi="Arial;sans-serif"/>
          <w:b w:val="false"/>
          <w:color w:val="1D2758"/>
          <w:sz w:val="26"/>
          <w:shd w:fill="FFFFFF" w:val="clear"/>
        </w:rPr>
        <w:t>NOTE 16 - Stock-Based Compensation</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Restricted Stock Awards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RSA activity during the years ended December 31, 2023, 2022 and 2021</w:t>
      </w:r>
      <w:r>
        <w:rPr>
          <w:rFonts w:ascii="Arial;sans-serif" w:hAnsi="Arial;sans-serif"/>
          <w:b w:val="false"/>
          <w:color w:val="000000"/>
          <w:sz w:val="18"/>
          <w:shd w:fill="FFFFFF" w:val="clear"/>
        </w:rPr>
        <w:t>:</w:t>
      </w:r>
    </w:p>
    <w:tbl>
      <w:tblPr>
        <w:tblW w:w="8066" w:type="dxa"/>
        <w:jc w:val="left"/>
        <w:tblInd w:w="0" w:type="dxa"/>
        <w:tblLayout w:type="fixed"/>
        <w:tblCellMar>
          <w:top w:w="28" w:type="dxa"/>
          <w:left w:w="28" w:type="dxa"/>
          <w:bottom w:w="28" w:type="dxa"/>
          <w:right w:w="28" w:type="dxa"/>
        </w:tblCellMar>
      </w:tblPr>
      <w:tblGrid>
        <w:gridCol w:w="890"/>
        <w:gridCol w:w="784"/>
        <w:gridCol w:w="786"/>
        <w:gridCol w:w="554"/>
        <w:gridCol w:w="554"/>
        <w:gridCol w:w="556"/>
        <w:gridCol w:w="109"/>
        <w:gridCol w:w="109"/>
        <w:gridCol w:w="109"/>
        <w:gridCol w:w="776"/>
        <w:gridCol w:w="2270"/>
        <w:gridCol w:w="569"/>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2020</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57,448 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44,708 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(8,532)</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(57,448)</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2021</w:t>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36,176 </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35,244 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(36,176)</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2022</w:t>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35,244 </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28,946 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44.44 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(35,244)</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2023</w:t>
            </w:r>
          </w:p>
        </w:tc>
        <w:tc>
          <w:tcPr>
            <w:tcW w:w="110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28,946 </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44.44 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Compensation expense for RSAs recognized in SG&amp;A expense in the consolidated statements of operations was $1.3 million, $1.2 million, and $0.8 million for the years ended December 31, 2023, 2022, and 2021, respectively. At December 31, 2023, unrecognized compensation cost related to RSAs totaled $0.6 million and was expected to be recognized over the remaining weighted average vesting period of 0.4 years. The total fair value of RSA's vested in 2023, 2022, and 2021 was $1.6 million, $1.3 million, and $1.6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01"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120" w:after="120"/>
        <w:jc w:val="both"/>
        <w:rPr>
          <w:rFonts w:ascii="Arial;sans-serif" w:hAnsi="Arial;sans-serif"/>
          <w:b/>
          <w:color w:val="000000"/>
          <w:sz w:val="20"/>
          <w:shd w:fill="FFFFFF" w:val="clear"/>
        </w:rPr>
      </w:pPr>
      <w:r>
        <w:rPr>
          <w:rFonts w:ascii="Arial;sans-serif" w:hAnsi="Arial;sans-serif"/>
          <w:b/>
          <w:color w:val="000000"/>
          <w:sz w:val="20"/>
          <w:shd w:fill="FFFFFF" w:val="clear"/>
        </w:rPr>
        <w:t>Time-Based RSUs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 summarizes the Company's Time-Based RSU activity during the years ended December 31, 2023, 2022 and 2021</w:t>
      </w:r>
      <w:r>
        <w:rPr>
          <w:rFonts w:ascii="Arial;sans-serif" w:hAnsi="Arial;sans-serif"/>
          <w:b w:val="false"/>
          <w:color w:val="000000"/>
          <w:sz w:val="18"/>
          <w:shd w:fill="FFFFFF" w:val="clear"/>
        </w:rPr>
        <w:t>:</w:t>
      </w:r>
    </w:p>
    <w:tbl>
      <w:tblPr>
        <w:tblW w:w="8066" w:type="dxa"/>
        <w:jc w:val="left"/>
        <w:tblInd w:w="0" w:type="dxa"/>
        <w:tblLayout w:type="fixed"/>
        <w:tblCellMar>
          <w:top w:w="28" w:type="dxa"/>
          <w:left w:w="28" w:type="dxa"/>
          <w:bottom w:w="28" w:type="dxa"/>
          <w:right w:w="28" w:type="dxa"/>
        </w:tblCellMar>
      </w:tblPr>
      <w:tblGrid>
        <w:gridCol w:w="890"/>
        <w:gridCol w:w="784"/>
        <w:gridCol w:w="786"/>
        <w:gridCol w:w="554"/>
        <w:gridCol w:w="554"/>
        <w:gridCol w:w="556"/>
        <w:gridCol w:w="109"/>
        <w:gridCol w:w="109"/>
        <w:gridCol w:w="109"/>
        <w:gridCol w:w="776"/>
        <w:gridCol w:w="2270"/>
        <w:gridCol w:w="569"/>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2020</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1,325,862 </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415,737 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(72,505)</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(671,643)</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2021</w:t>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997,451 </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377,804 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(106,570)</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31.35 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(478,906)</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2022</w:t>
            </w:r>
          </w:p>
        </w:tc>
        <w:tc>
          <w:tcPr>
            <w:tcW w:w="110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789,779 </w:t>
            </w:r>
          </w:p>
        </w:tc>
        <w:tc>
          <w:tcPr>
            <w:tcW w:w="5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26.16 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213,388 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(61,848)</w:t>
            </w:r>
          </w:p>
        </w:tc>
        <w:tc>
          <w:tcPr>
            <w:tcW w:w="5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36.75 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(322,483)</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2023</w:t>
            </w:r>
          </w:p>
        </w:tc>
        <w:tc>
          <w:tcPr>
            <w:tcW w:w="110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618,836 </w:t>
            </w:r>
          </w:p>
        </w:tc>
        <w:tc>
          <w:tcPr>
            <w:tcW w:w="5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36.07 </w:t>
            </w:r>
          </w:p>
        </w:tc>
        <w:tc>
          <w:tcPr>
            <w:tcW w:w="5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Compensation expense for Time-Based RSUs recognized in SG&amp;A expense in the consolidated statements of operations was $8.1 million, $8.2 million, and $9.0 million for the years ended December 31, 2023, 2022, and 2021, respectively. At December 31, 2023, unrecognized compensation cost related to Time-Based RSUs totaled $14.2 million and was expected to be recognized over the remaining weighted average vesting period of 2.0 years. The total fair value of Time-Based RSU's vested in 2023, 2022, and 2021 was $16.2 million, $18.0 million, and $18.5 million, respectively. </w:t>
      </w:r>
    </w:p>
    <w:p>
      <w:pPr>
        <w:pStyle w:val="TextBody"/>
        <w:bidi w:val="0"/>
        <w:spacing w:lineRule="auto" w:line="288" w:before="0" w:after="12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Included in restructuring costs for the year ended December 31, 2021 was expense of approximately $5.9 million recognized as a result of the modification of certain RSUs with the Transition, Separation and Release Agreement entered into on February 25, 2021, with the Company's former President and Chief Operating Officer.</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Performance-Based RSUs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 summarizes the Company's Performance-Based RSU award activity during the years ended December 31, 2023 and 2022 and 2021:</w:t>
      </w:r>
    </w:p>
    <w:tbl>
      <w:tblPr>
        <w:tblW w:w="8066" w:type="dxa"/>
        <w:jc w:val="left"/>
        <w:tblInd w:w="0" w:type="dxa"/>
        <w:tblLayout w:type="fixed"/>
        <w:tblCellMar>
          <w:top w:w="28" w:type="dxa"/>
          <w:left w:w="28" w:type="dxa"/>
          <w:bottom w:w="28" w:type="dxa"/>
          <w:right w:w="28" w:type="dxa"/>
        </w:tblCellMar>
      </w:tblPr>
      <w:tblGrid>
        <w:gridCol w:w="890"/>
        <w:gridCol w:w="784"/>
        <w:gridCol w:w="786"/>
        <w:gridCol w:w="554"/>
        <w:gridCol w:w="554"/>
        <w:gridCol w:w="556"/>
        <w:gridCol w:w="109"/>
        <w:gridCol w:w="109"/>
        <w:gridCol w:w="109"/>
        <w:gridCol w:w="776"/>
        <w:gridCol w:w="2270"/>
        <w:gridCol w:w="569"/>
      </w:tblGrid>
      <w:tr>
        <w:trPr/>
        <w:tc>
          <w:tcPr>
            <w:tcW w:w="8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Grant Date Fair Value</w:t>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2020</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593,388 </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14.88 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977,645 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33.21 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(23,753)</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27.92 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(10,886)</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2021</w:t>
            </w:r>
          </w:p>
        </w:tc>
        <w:tc>
          <w:tcPr>
            <w:tcW w:w="110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1,536,394 </w:t>
            </w:r>
          </w:p>
        </w:tc>
        <w:tc>
          <w:tcPr>
            <w:tcW w:w="5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745,079 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(74,071)</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41.66 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(313,152)</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2022</w:t>
            </w:r>
          </w:p>
        </w:tc>
        <w:tc>
          <w:tcPr>
            <w:tcW w:w="1108" w:type="dxa"/>
            <w:gridSpan w:val="2"/>
            <w:tcBorders>
              <w:top w:val="single" w:sz="8" w:space="0" w:color="000000"/>
            </w:tcBorders>
            <w:shd w:fill="DDDDDD"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1,894,250 </w:t>
            </w:r>
          </w:p>
        </w:tc>
        <w:tc>
          <w:tcPr>
            <w:tcW w:w="556" w:type="dxa"/>
            <w:tcBorders>
              <w:top w:val="single" w:sz="8" w:space="0" w:color="000000"/>
            </w:tcBorders>
            <w:shd w:fill="DDDDD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33.67 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376,826 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69.52 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(37,451)</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47.52 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(293,934)</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16.34 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2023</w:t>
            </w:r>
          </w:p>
        </w:tc>
        <w:tc>
          <w:tcPr>
            <w:tcW w:w="1108"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1,939,691 </w:t>
            </w:r>
          </w:p>
        </w:tc>
        <w:tc>
          <w:tcPr>
            <w:tcW w:w="55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270"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42.95 </w:t>
            </w:r>
          </w:p>
        </w:tc>
        <w:tc>
          <w:tcPr>
            <w:tcW w:w="569"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720"/>
        <w:jc w:val="both"/>
        <w:rPr>
          <w:rFonts w:ascii="Arial;sans-serif" w:hAnsi="Arial;sans-serif"/>
          <w:b w:val="false"/>
          <w:color w:val="000000"/>
          <w:sz w:val="18"/>
        </w:rPr>
      </w:pPr>
      <w:r>
        <w:rPr>
          <w:rFonts w:ascii="Arial;sans-serif" w:hAnsi="Arial;sans-serif"/>
          <w:b w:val="false"/>
          <w:color w:val="000000"/>
          <w:sz w:val="18"/>
        </w:rPr>
        <w:t>Compensation expense for Performance-Based RSUs recognized in SG&amp;A expense in the consolidated statements of operations was $24.9 million, $20.2 million and $8.3 million for the years ended December 31, 2023, 2022, and 2021, respectively. At December 31, 2023, unrecognized compensation cost related to Performance-Based RSUs totaled $35.2 million and was expected to be recognized over the remaining vesting period of 1.5 years. The total fair value of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02"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120" w:after="60"/>
        <w:jc w:val="both"/>
        <w:rPr>
          <w:rFonts w:ascii="Arial;sans-serif" w:hAnsi="Arial;sans-serif"/>
          <w:b w:val="false"/>
          <w:color w:val="000000"/>
          <w:sz w:val="18"/>
        </w:rPr>
      </w:pPr>
      <w:r>
        <w:rPr>
          <w:rFonts w:ascii="Arial;sans-serif" w:hAnsi="Arial;sans-serif"/>
          <w:b w:val="false"/>
          <w:color w:val="000000"/>
          <w:sz w:val="18"/>
        </w:rPr>
        <w:t xml:space="preserve">Based RSU's vested in 2023, 2022, and 2021 was $15.0 million, $11.9 million and $0.3 million, respectively. Refer to Note 1 for the details of conditions required for the performance-based RSUs to vest. </w:t>
      </w:r>
    </w:p>
    <w:p>
      <w:pPr>
        <w:pStyle w:val="TextBody"/>
        <w:bidi w:val="0"/>
        <w:spacing w:lineRule="auto" w:line="288" w:before="0" w:after="120"/>
        <w:ind w:left="0" w:right="0" w:firstLine="720"/>
        <w:jc w:val="both"/>
        <w:rPr/>
      </w:pPr>
      <w:r>
        <w:rPr>
          <w:rFonts w:ascii="Arial;sans-serif" w:hAnsi="Arial;sans-serif"/>
          <w:b w:val="false"/>
          <w:color w:val="000000"/>
          <w:sz w:val="18"/>
        </w:rPr>
        <w:t>Included in restructuring costs for the year ended December 31, 2021</w:t>
      </w:r>
      <w:r>
        <w:rPr>
          <w:rFonts w:ascii="Arial;sans-serif" w:hAnsi="Arial;sans-serif"/>
          <w:b w:val="false"/>
          <w:color w:val="000000"/>
          <w:sz w:val="18"/>
          <w:shd w:fill="FFFFFF" w:val="clear"/>
        </w:rPr>
        <w:t xml:space="preserve">, was expense of approximately $1.3 million recognized as a result of the modification of certain Performance-Based RSUs with the Transition, Separation and Release Agreement entered into on February 25, 2021, with the Company's former President and Chief Operating Officer.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Stock Options</w:t>
      </w:r>
    </w:p>
    <w:p>
      <w:pPr>
        <w:pStyle w:val="TextBody"/>
        <w:bidi w:val="0"/>
        <w:spacing w:lineRule="auto" w:line="288" w:before="0" w:after="120"/>
        <w:ind w:left="0" w:right="0" w:firstLine="720"/>
        <w:jc w:val="both"/>
        <w:rPr/>
      </w:pPr>
      <w:r>
        <w:rPr>
          <w:rFonts w:ascii="Arial;sans-serif" w:hAnsi="Arial;sans-serif"/>
          <w:b w:val="false"/>
          <w:color w:val="000000"/>
          <w:sz w:val="18"/>
        </w:rPr>
        <w:t>The following table summarizes the Company's stock option activity during the years ended December 31, 2023, 2022 and 2021</w:t>
      </w:r>
      <w:r>
        <w:rPr>
          <w:rFonts w:ascii="Arial;sans-serif" w:hAnsi="Arial;sans-serif"/>
          <w:b w:val="false"/>
          <w:color w:val="000000"/>
          <w:sz w:val="18"/>
          <w:shd w:fill="FFFFFF" w:val="clear"/>
        </w:rPr>
        <w:t>:</w:t>
      </w:r>
    </w:p>
    <w:tbl>
      <w:tblPr>
        <w:tblW w:w="10205" w:type="dxa"/>
        <w:jc w:val="left"/>
        <w:tblInd w:w="0" w:type="dxa"/>
        <w:tblLayout w:type="fixed"/>
        <w:tblCellMar>
          <w:top w:w="28" w:type="dxa"/>
          <w:left w:w="28" w:type="dxa"/>
          <w:bottom w:w="28" w:type="dxa"/>
          <w:right w:w="28" w:type="dxa"/>
        </w:tblCellMar>
      </w:tblPr>
      <w:tblGrid>
        <w:gridCol w:w="777"/>
        <w:gridCol w:w="626"/>
        <w:gridCol w:w="628"/>
        <w:gridCol w:w="499"/>
        <w:gridCol w:w="371"/>
        <w:gridCol w:w="326"/>
        <w:gridCol w:w="109"/>
        <w:gridCol w:w="109"/>
        <w:gridCol w:w="109"/>
        <w:gridCol w:w="509"/>
        <w:gridCol w:w="1488"/>
        <w:gridCol w:w="263"/>
        <w:gridCol w:w="109"/>
        <w:gridCol w:w="109"/>
        <w:gridCol w:w="109"/>
        <w:gridCol w:w="584"/>
        <w:gridCol w:w="441"/>
        <w:gridCol w:w="400"/>
        <w:gridCol w:w="109"/>
        <w:gridCol w:w="109"/>
        <w:gridCol w:w="109"/>
        <w:gridCol w:w="495"/>
        <w:gridCol w:w="1448"/>
        <w:gridCol w:w="369"/>
      </w:tblGrid>
      <w:tr>
        <w:trPr/>
        <w:tc>
          <w:tcPr>
            <w:tcW w:w="77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WillScot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Converted</w:t>
              <w:br/>
              <w:t>Mobile Mini Options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Weighted-Average Exercise Price per Share</w:t>
            </w:r>
          </w:p>
        </w:tc>
      </w:tr>
      <w:tr>
        <w:trPr/>
        <w:tc>
          <w:tcPr>
            <w:tcW w:w="20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December 31, 2020</w:t>
            </w:r>
          </w:p>
        </w:tc>
        <w:tc>
          <w:tcPr>
            <w:tcW w:w="8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2,031,455 </w:t>
            </w:r>
          </w:p>
        </w:tc>
        <w:tc>
          <w:tcPr>
            <w:tcW w:w="4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(6,240)</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(497,572)</w:t>
            </w:r>
          </w:p>
        </w:tc>
        <w:tc>
          <w:tcPr>
            <w:tcW w:w="4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15.21 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2021</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1,527,643 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(663,367)</w:t>
            </w:r>
          </w:p>
        </w:tc>
        <w:tc>
          <w:tcPr>
            <w:tcW w:w="4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864,276 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87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(35,030)</w:t>
            </w:r>
          </w:p>
        </w:tc>
        <w:tc>
          <w:tcPr>
            <w:tcW w:w="40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8"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14.21 </w:t>
            </w:r>
          </w:p>
        </w:tc>
        <w:tc>
          <w:tcPr>
            <w:tcW w:w="3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829,246 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Fully vested and exercisable options, December 31, 2023</w:t>
            </w:r>
          </w:p>
        </w:tc>
        <w:tc>
          <w:tcPr>
            <w:tcW w:w="8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534,188 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829,246 </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12.86 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Under our stock option plans, the Company may issue shares on a net basis at the request of the option holder. This occurs by netting the option costs in shares from the shares exercised. </w:t>
      </w:r>
      <w:r>
        <w:rPr>
          <w:rFonts w:ascii="Arial;sans-serif" w:hAnsi="Arial;sans-serif"/>
          <w:b w:val="false"/>
          <w:color w:val="000000"/>
          <w:sz w:val="18"/>
        </w:rPr>
        <w:t>No options were granted in the years ended December 31, 2023,</w:t>
      </w:r>
      <w:r>
        <w:rPr>
          <w:color w:val="000000"/>
          <w:shd w:fill="FFFFFF" w:val="clear"/>
        </w:rPr>
        <w:t xml:space="preserve"> </w:t>
      </w:r>
      <w:r>
        <w:rPr>
          <w:rFonts w:ascii="Arial;sans-serif" w:hAnsi="Arial;sans-serif"/>
          <w:b w:val="false"/>
          <w:color w:val="000000"/>
          <w:sz w:val="18"/>
          <w:shd w:fill="FFFFFF" w:val="clear"/>
        </w:rPr>
        <w:t>2022, and 2021</w:t>
      </w:r>
      <w:r>
        <w:rPr>
          <w:rFonts w:ascii="Arial;sans-serif" w:hAnsi="Arial;sans-serif"/>
          <w:b w:val="false"/>
          <w:color w:val="000000"/>
          <w:sz w:val="18"/>
        </w:rPr>
        <w:t>.</w:t>
      </w:r>
    </w:p>
    <w:p>
      <w:pPr>
        <w:pStyle w:val="TextBody"/>
        <w:bidi w:val="0"/>
        <w:spacing w:lineRule="auto" w:line="288" w:before="0" w:after="60"/>
        <w:ind w:left="0" w:right="0" w:firstLine="720"/>
        <w:jc w:val="both"/>
        <w:rPr/>
      </w:pPr>
      <w:r>
        <w:rPr>
          <w:rFonts w:ascii="Arial;sans-serif" w:hAnsi="Arial;sans-serif"/>
          <w:b w:val="false"/>
          <w:color w:val="000000"/>
          <w:sz w:val="18"/>
        </w:rPr>
        <w:t>At December 31, 2023, the intrinsic value of both stock options outstanding and stock options fully vested and currently exercisable was $42.7 million. At December 31, 2023, the weighted-average remaining contractual term of options outstanding was 4.2 years for WillScot options and 3.1 years for converted Mobile Mini options. The total pre-tax intrinsic value of stock options exercised during the years ended December 31, 2023, 2022, and 2021 was $1.1 million,</w:t>
      </w:r>
      <w:r>
        <w:rPr>
          <w:color w:val="000000"/>
          <w:shd w:fill="FFFFFF" w:val="clear"/>
        </w:rPr>
        <w:t xml:space="preserve"> </w:t>
      </w:r>
      <w:r>
        <w:rPr>
          <w:rFonts w:ascii="Arial;sans-serif" w:hAnsi="Arial;sans-serif"/>
          <w:b w:val="false"/>
          <w:color w:val="000000"/>
          <w:sz w:val="18"/>
        </w:rPr>
        <w:t>$16.0 million and</w:t>
      </w:r>
      <w:r>
        <w:rPr>
          <w:color w:val="000000"/>
          <w:shd w:fill="FFFFFF" w:val="clear"/>
        </w:rPr>
        <w:t xml:space="preserve"> </w:t>
      </w:r>
      <w:r>
        <w:rPr>
          <w:rFonts w:ascii="Arial;sans-serif" w:hAnsi="Arial;sans-serif"/>
          <w:b w:val="false"/>
          <w:color w:val="000000"/>
          <w:sz w:val="18"/>
        </w:rPr>
        <w:t>$6.2 million</w:t>
      </w:r>
      <w:r>
        <w:rPr>
          <w:rFonts w:ascii="Arial;sans-serif" w:hAnsi="Arial;sans-serif"/>
          <w:b w:val="false"/>
          <w:color w:val="000000"/>
          <w:sz w:val="18"/>
          <w:shd w:fill="FFFFFF" w:val="clear"/>
        </w:rPr>
        <w:t xml:space="preserve">, respectively. </w:t>
      </w:r>
    </w:p>
    <w:p>
      <w:pPr>
        <w:pStyle w:val="TextBody"/>
        <w:bidi w:val="0"/>
        <w:spacing w:lineRule="auto" w:line="288" w:before="0" w:after="60"/>
        <w:ind w:left="0" w:right="0" w:firstLine="720"/>
        <w:jc w:val="both"/>
        <w:rPr/>
      </w:pPr>
      <w:r>
        <w:rPr>
          <w:rFonts w:ascii="Arial;sans-serif" w:hAnsi="Arial;sans-serif"/>
          <w:b w:val="false"/>
          <w:color w:val="000000"/>
          <w:sz w:val="18"/>
        </w:rPr>
        <w:t>Com</w:t>
      </w:r>
      <w:r>
        <w:rPr>
          <w:rFonts w:ascii="Arial;sans-serif" w:hAnsi="Arial;sans-serif"/>
          <w:b w:val="false"/>
          <w:color w:val="000000"/>
          <w:sz w:val="18"/>
          <w:shd w:fill="FFFFFF" w:val="clear"/>
        </w:rPr>
        <w:t>pensation expense for stock option awards, recognized in SG&amp;A expense in the consolidated statements of operations was</w:t>
      </w:r>
      <w:r>
        <w:rPr>
          <w:color w:val="000000"/>
        </w:rPr>
        <w:t xml:space="preserve"> </w:t>
      </w:r>
      <w:r>
        <w:rPr>
          <w:rFonts w:ascii="Arial;sans-serif" w:hAnsi="Arial;sans-serif"/>
          <w:b w:val="false"/>
          <w:color w:val="000000"/>
          <w:sz w:val="18"/>
          <w:shd w:fill="FFFFFF" w:val="clear"/>
        </w:rPr>
        <w:t xml:space="preserve">$0.2 million and $0.7 million for the </w:t>
      </w:r>
      <w:r>
        <w:rPr>
          <w:rFonts w:ascii="Arial;sans-serif" w:hAnsi="Arial;sans-serif"/>
          <w:b w:val="false"/>
          <w:color w:val="000000"/>
          <w:sz w:val="18"/>
        </w:rPr>
        <w:t xml:space="preserve">years ended December 31, </w:t>
      </w:r>
      <w:r>
        <w:rPr>
          <w:rFonts w:ascii="Arial;sans-serif" w:hAnsi="Arial;sans-serif"/>
          <w:b w:val="false"/>
          <w:color w:val="000000"/>
          <w:sz w:val="18"/>
          <w:shd w:fill="FFFFFF" w:val="clear"/>
        </w:rPr>
        <w:t>2022 and 2021, respective</w:t>
      </w:r>
      <w:r>
        <w:rPr>
          <w:rFonts w:ascii="Arial;sans-serif" w:hAnsi="Arial;sans-serif"/>
          <w:b w:val="false"/>
          <w:color w:val="000000"/>
          <w:sz w:val="18"/>
        </w:rPr>
        <w:t xml:space="preserve">ly. At December 31, 2023, all compensation cost related to stock option awards had been recognized. </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17 - Commitments and Contingencies</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is involved in various lawsuits, claims and legal proceedings that arise in the ordinary course of business. The Company assesses these matters on a case-by-case basis as they arise and establishes reserves as required. As of December 31, 2023,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 </w:t>
      </w:r>
    </w:p>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18 - Segment Reporting</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The Company operates in two reportable segments as follows: Modular Solutions ("Modular") and Storage Solutions ("Storage").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Prior to the third quarter of 2021, the Modular segment represented the activities of WillScot historical segments prior to the Merger. During the third quarter of 2021, the majority of the portable storage product business within the Modular segment was transitioned to the Storage segment, and associated revenues, expenses, and operating metrics beginning in the third quarter of 2021 were transferred to the Storage segment, representing a shift of approximately $5.0 million of revenue and gross margin per quarter from the Modular segment to the Storage segment. This adjustment was not made to the historical segment results of prior periods, as the Company believes such adjustments to be immaterial.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03"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During the first quarter of 2023, the ground level office business within the Modular segment was transferred to the Storage segment, and associated revenues, expenses, and operating metrics were transferred to the Storage segment. All periods presented have been retrospectively revised to reflect this change between the Modular and Storage segments. For the year ended December 31, 2022, $49.8 million of revenue and $28.5 million of gross profit were reclassified from the Modular segment to the Storage segment.</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the Company launched a unified go-to market approach to achieve local product unification within each metropolitan statistical area. In connection with this change in operating model, the Company realigned the composition of its segments to reflect how its Chief Operating Decision Maker reviews information to make operating decisions and assess performance. As a result, the Company concluded that its divisions represent its operating segments, which are aggregated into one reportable segment as the divisions have similar economic characteristics, offer similar products to similar customers, use similar methods to distribute products and are subject to similar competitive risks. This change in reportable segments will be reflected in our financial statements beginning in 2024.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Total assets for each reportable segment are not available because the Company utilizes a centralized approach to working capital management. </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The Company defines EBITDA as net income (loss) plus interest (income) expense, income tax (benefit) expense, depreciation and amortization. The Company reflects the further adjustments to EBITDA (“Adjusted EBITDA”) to exclude certain non-cash items and the effect of what the Company considers transactions or events not related to its core and ongoing business operations. In addition, the </w:t>
      </w:r>
      <w:r>
        <w:rPr>
          <w:rFonts w:ascii="Arial;sans-serif" w:hAnsi="Arial;sans-serif"/>
          <w:b w:val="false"/>
          <w:color w:val="000000"/>
          <w:sz w:val="18"/>
          <w:shd w:fill="FFFFFF" w:val="clear"/>
        </w:rPr>
        <w:t>Chief Operating Decision Maker ("CODM")</w:t>
      </w:r>
      <w:r>
        <w:rPr>
          <w:color w:val="000000"/>
        </w:rPr>
        <w:t xml:space="preserve"> </w:t>
      </w:r>
      <w:r>
        <w:rPr>
          <w:rFonts w:ascii="Arial;sans-serif" w:hAnsi="Arial;sans-serif"/>
          <w:b w:val="false"/>
          <w:color w:val="000000"/>
          <w:sz w:val="18"/>
        </w:rPr>
        <w:t>evaluates business segment performance utilizing Adjusted EBITDA as shown in the reconciliation of the Company’s income from continuing operations to Adjusted EBITDA below. Management believes that evaluating segment performance excluding such items is meaningful because it provides insight with respect to the intrinsic and ongoing operating results of the Company. The Company considers Adjusted EBITDA to be an important metric because it reflects the business performance of the segments, inclusive of indirect costs. The Company also regularly evaluates gross profit by segment to assist in the assessment of its operational performance.</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Reportable Segments</w:t>
      </w:r>
    </w:p>
    <w:p>
      <w:pPr>
        <w:pStyle w:val="TextBody"/>
        <w:bidi w:val="0"/>
        <w:spacing w:lineRule="auto" w:line="288" w:before="0" w:after="60"/>
        <w:ind w:left="0" w:right="0" w:firstLine="720"/>
        <w:jc w:val="both"/>
        <w:rPr/>
      </w:pPr>
      <w:r>
        <w:rPr>
          <w:rFonts w:ascii="Arial;sans-serif" w:hAnsi="Arial;sans-serif"/>
          <w:b w:val="false"/>
          <w:color w:val="000000"/>
          <w:sz w:val="18"/>
        </w:rPr>
        <w:t>The following tables set forth certain information regarding each of the Company’s reportable segments fo</w:t>
      </w:r>
      <w:r>
        <w:rPr>
          <w:rFonts w:ascii="Arial;sans-serif" w:hAnsi="Arial;sans-serif"/>
          <w:b w:val="false"/>
          <w:color w:val="000000"/>
          <w:sz w:val="18"/>
          <w:shd w:fill="FFFFFF" w:val="clear"/>
        </w:rPr>
        <w:t xml:space="preserve">r the years ended December 31, 2023, 2022, and 2021, respectively. </w:t>
      </w:r>
    </w:p>
    <w:tbl>
      <w:tblPr>
        <w:tblW w:w="10205" w:type="dxa"/>
        <w:jc w:val="left"/>
        <w:tblInd w:w="0" w:type="dxa"/>
        <w:tblLayout w:type="fixed"/>
        <w:tblCellMar>
          <w:top w:w="28" w:type="dxa"/>
          <w:left w:w="28" w:type="dxa"/>
          <w:bottom w:w="28" w:type="dxa"/>
          <w:right w:w="28" w:type="dxa"/>
        </w:tblCellMar>
      </w:tblPr>
      <w:tblGrid>
        <w:gridCol w:w="1418"/>
        <w:gridCol w:w="1207"/>
        <w:gridCol w:w="1210"/>
        <w:gridCol w:w="211"/>
        <w:gridCol w:w="976"/>
        <w:gridCol w:w="109"/>
        <w:gridCol w:w="109"/>
        <w:gridCol w:w="109"/>
        <w:gridCol w:w="109"/>
        <w:gridCol w:w="211"/>
        <w:gridCol w:w="826"/>
        <w:gridCol w:w="109"/>
        <w:gridCol w:w="109"/>
        <w:gridCol w:w="109"/>
        <w:gridCol w:w="109"/>
        <w:gridCol w:w="324"/>
        <w:gridCol w:w="1110"/>
        <w:gridCol w:w="169"/>
        <w:gridCol w:w="109"/>
        <w:gridCol w:w="109"/>
        <w:gridCol w:w="109"/>
        <w:gridCol w:w="211"/>
        <w:gridCol w:w="976"/>
        <w:gridCol w:w="157"/>
      </w:tblGrid>
      <w:tr>
        <w:trPr/>
        <w:tc>
          <w:tcPr>
            <w:tcW w:w="141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3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0"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 2023</w:t>
            </w:r>
          </w:p>
        </w:tc>
      </w:tr>
      <w:tr>
        <w:trPr/>
        <w:tc>
          <w:tcPr>
            <w:tcW w:w="383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Modular</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Storage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Unallocated Costs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3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1,137,685 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696,250 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1,833,935 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437,179 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45,524 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2,364,767 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Leasing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398,467 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224,671 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92,446 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317,117 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26,439 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219,869 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265,733 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1,333,870 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selected data:</w:t>
            </w:r>
          </w:p>
        </w:tc>
        <w:tc>
          <w:tcPr>
            <w:tcW w:w="129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1,061,465 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0"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49,418 </w:t>
            </w:r>
          </w:p>
        </w:tc>
        <w:tc>
          <w:tcPr>
            <w:tcW w:w="1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596,090 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rental equipment and refurbishments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226,605 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04"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99</w:t>
                      </w:r>
                    </w:p>
                  </w:txbxContent>
                </v:textbox>
                <w10:wrap type="none"/>
              </v:rect>
            </w:pict>
          </mc:Fallback>
        </mc:AlternateContent>
      </w:r>
    </w:p>
    <w:p>
      <w:pPr>
        <w:pStyle w:val="TextBody"/>
        <w:bidi w:val="0"/>
        <w:spacing w:before="0" w:after="60"/>
        <w:jc w:val="left"/>
        <w:rPr/>
      </w:pPr>
      <w:r>
        <w:rPr/>
      </w:r>
    </w:p>
    <w:tbl>
      <w:tblPr>
        <w:tblW w:w="10205" w:type="dxa"/>
        <w:jc w:val="left"/>
        <w:tblInd w:w="0" w:type="dxa"/>
        <w:tblLayout w:type="fixed"/>
        <w:tblCellMar>
          <w:top w:w="28" w:type="dxa"/>
          <w:left w:w="28" w:type="dxa"/>
          <w:bottom w:w="28" w:type="dxa"/>
          <w:right w:w="28" w:type="dxa"/>
        </w:tblCellMar>
      </w:tblPr>
      <w:tblGrid>
        <w:gridCol w:w="1455"/>
        <w:gridCol w:w="1252"/>
        <w:gridCol w:w="1254"/>
        <w:gridCol w:w="211"/>
        <w:gridCol w:w="826"/>
        <w:gridCol w:w="109"/>
        <w:gridCol w:w="109"/>
        <w:gridCol w:w="109"/>
        <w:gridCol w:w="109"/>
        <w:gridCol w:w="211"/>
        <w:gridCol w:w="826"/>
        <w:gridCol w:w="109"/>
        <w:gridCol w:w="109"/>
        <w:gridCol w:w="109"/>
        <w:gridCol w:w="109"/>
        <w:gridCol w:w="329"/>
        <w:gridCol w:w="1126"/>
        <w:gridCol w:w="171"/>
        <w:gridCol w:w="109"/>
        <w:gridCol w:w="109"/>
        <w:gridCol w:w="109"/>
        <w:gridCol w:w="211"/>
        <w:gridCol w:w="976"/>
        <w:gridCol w:w="158"/>
      </w:tblGrid>
      <w:tr>
        <w:trPr/>
        <w:tc>
          <w:tcPr>
            <w:tcW w:w="145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96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4"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 2022</w:t>
            </w:r>
          </w:p>
        </w:tc>
      </w:tr>
      <w:tr>
        <w:trPr/>
        <w:tc>
          <w:tcPr>
            <w:tcW w:w="396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Modular</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Storage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Unallocated Costs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3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992,316 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629,374 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1,621,690 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429,152 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51,443 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1,342,033 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2,142,623 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221,784 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100,852 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322,636 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20,475 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24,011 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256,719 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Gross profit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1,135,482 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selected data:</w:t>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883,874 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215,732 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46,738 </w:t>
            </w:r>
          </w:p>
        </w:tc>
        <w:tc>
          <w:tcPr>
            <w:tcW w:w="1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567,407 </w:t>
            </w:r>
          </w:p>
        </w:tc>
        <w:tc>
          <w:tcPr>
            <w:tcW w:w="15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rental equipment and refurbishments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05"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100</w:t>
                      </w:r>
                    </w:p>
                  </w:txbxContent>
                </v:textbox>
                <w10:wrap type="none"/>
              </v:rect>
            </w:pict>
          </mc:Fallback>
        </mc:AlternateContent>
      </w:r>
    </w:p>
    <w:p>
      <w:pPr>
        <w:pStyle w:val="TextBody"/>
        <w:bidi w:val="0"/>
        <w:spacing w:before="0" w:after="60"/>
        <w:jc w:val="left"/>
        <w:rPr/>
      </w:pPr>
      <w:r>
        <w:rPr/>
      </w:r>
    </w:p>
    <w:tbl>
      <w:tblPr>
        <w:tblW w:w="10205" w:type="dxa"/>
        <w:jc w:val="left"/>
        <w:tblInd w:w="0" w:type="dxa"/>
        <w:tblLayout w:type="fixed"/>
        <w:tblCellMar>
          <w:top w:w="28" w:type="dxa"/>
          <w:left w:w="28" w:type="dxa"/>
          <w:bottom w:w="28" w:type="dxa"/>
          <w:right w:w="28" w:type="dxa"/>
        </w:tblCellMar>
      </w:tblPr>
      <w:tblGrid>
        <w:gridCol w:w="1446"/>
        <w:gridCol w:w="1249"/>
        <w:gridCol w:w="1253"/>
        <w:gridCol w:w="211"/>
        <w:gridCol w:w="826"/>
        <w:gridCol w:w="109"/>
        <w:gridCol w:w="109"/>
        <w:gridCol w:w="109"/>
        <w:gridCol w:w="109"/>
        <w:gridCol w:w="211"/>
        <w:gridCol w:w="826"/>
        <w:gridCol w:w="109"/>
        <w:gridCol w:w="109"/>
        <w:gridCol w:w="109"/>
        <w:gridCol w:w="109"/>
        <w:gridCol w:w="332"/>
        <w:gridCol w:w="1135"/>
        <w:gridCol w:w="173"/>
        <w:gridCol w:w="109"/>
        <w:gridCol w:w="109"/>
        <w:gridCol w:w="109"/>
        <w:gridCol w:w="211"/>
        <w:gridCol w:w="976"/>
        <w:gridCol w:w="157"/>
      </w:tblGrid>
      <w:tr>
        <w:trPr/>
        <w:tc>
          <w:tcPr>
            <w:tcW w:w="144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948"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7" w:type="dxa"/>
            <w:gridSpan w:val="21"/>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 2021</w:t>
            </w:r>
          </w:p>
        </w:tc>
      </w:tr>
      <w:tr>
        <w:trPr/>
        <w:tc>
          <w:tcPr>
            <w:tcW w:w="394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Modular</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Storage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Unallocated Costs</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39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 and services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827,677 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424,813 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1,252,490 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321,129 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revenue:</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52,368 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1,672,980 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leasing and services:</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282,576 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Delivery and installation</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267,533 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units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31,348 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rental equipment</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190,805 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27,985 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218,790 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844,703 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selected data:</w:t>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649,604 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256,168 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63,939 </w:t>
            </w:r>
          </w:p>
        </w:tc>
        <w:tc>
          <w:tcPr>
            <w:tcW w:w="1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480,407 </w:t>
            </w:r>
          </w:p>
        </w:tc>
        <w:tc>
          <w:tcPr>
            <w:tcW w:w="15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rental equipment and refurbishments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232,921 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tables present a reconciliation of the Company’s Income from continuing operations to Adjusted EBITDA for the years ended December 31, 2023, 2022, and 2021, respectively:</w:t>
      </w:r>
    </w:p>
    <w:tbl>
      <w:tblPr>
        <w:tblW w:w="10205" w:type="dxa"/>
        <w:jc w:val="left"/>
        <w:tblInd w:w="0" w:type="dxa"/>
        <w:tblLayout w:type="fixed"/>
        <w:tblCellMar>
          <w:top w:w="28" w:type="dxa"/>
          <w:left w:w="28" w:type="dxa"/>
          <w:bottom w:w="28" w:type="dxa"/>
          <w:right w:w="28" w:type="dxa"/>
        </w:tblCellMar>
      </w:tblPr>
      <w:tblGrid>
        <w:gridCol w:w="2153"/>
        <w:gridCol w:w="1880"/>
        <w:gridCol w:w="1884"/>
        <w:gridCol w:w="211"/>
        <w:gridCol w:w="976"/>
        <w:gridCol w:w="109"/>
        <w:gridCol w:w="109"/>
        <w:gridCol w:w="109"/>
        <w:gridCol w:w="109"/>
        <w:gridCol w:w="211"/>
        <w:gridCol w:w="826"/>
        <w:gridCol w:w="109"/>
        <w:gridCol w:w="109"/>
        <w:gridCol w:w="109"/>
        <w:gridCol w:w="109"/>
        <w:gridCol w:w="211"/>
        <w:gridCol w:w="826"/>
        <w:gridCol w:w="155"/>
      </w:tblGrid>
      <w:tr>
        <w:trPr/>
        <w:tc>
          <w:tcPr>
            <w:tcW w:w="2153"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1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8" w:type="dxa"/>
            <w:gridSpan w:val="15"/>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Ended December 31,</w:t>
            </w:r>
          </w:p>
        </w:tc>
      </w:tr>
      <w:tr>
        <w:trPr/>
        <w:tc>
          <w:tcPr>
            <w:tcW w:w="591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276,341 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114,895 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from continuing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extinguishment of debt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loss on common stock warrant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205,040 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146,278 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116,358 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losses, net</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 lease impairment expense and other related charges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Integration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compensation expense</w:t>
            </w:r>
          </w:p>
        </w:tc>
        <w:tc>
          <w:tcPr>
            <w:tcW w:w="118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18,728 </w:t>
            </w:r>
          </w:p>
        </w:tc>
        <w:tc>
          <w:tcPr>
            <w:tcW w:w="15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from continuing operations</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1,061,465 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883,874 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649,604 </w:t>
            </w:r>
          </w:p>
        </w:tc>
        <w:tc>
          <w:tcPr>
            <w:tcW w:w="15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Arial;sans-serif" w:hAnsi="Arial;sans-serif"/>
          <w:b w:val="false"/>
          <w:color w:val="000000"/>
          <w:sz w:val="18"/>
        </w:rPr>
      </w:pPr>
      <w:r>
        <w:rPr>
          <w:rFonts w:ascii="Arial;sans-serif" w:hAnsi="Arial;sans-serif"/>
          <w:b w:val="false"/>
          <w:color w:val="000000"/>
          <w:sz w:val="18"/>
        </w:rPr>
        <w:t>Included in restructuring costs for the year ended December 31, 2021 was expense of approximately $7.2 million recognized as a result of the modification of certain equity awards associated with the Transition, Separation and Release Agreement entered into on February 25, 2021 with the Company's former President and Chief Operating Officer. For the year ended December 31, 2021, stock-based compensation expense reported in the Statement of Cash Flows included these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06"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Assets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Assets related to the Company’s reportable segments include the following:</w:t>
      </w:r>
    </w:p>
    <w:tbl>
      <w:tblPr>
        <w:tblW w:w="6821" w:type="dxa"/>
        <w:jc w:val="left"/>
        <w:tblInd w:w="0" w:type="dxa"/>
        <w:tblLayout w:type="fixed"/>
        <w:tblCellMar>
          <w:top w:w="28" w:type="dxa"/>
          <w:left w:w="28" w:type="dxa"/>
          <w:bottom w:w="28" w:type="dxa"/>
          <w:right w:w="28" w:type="dxa"/>
        </w:tblCellMar>
      </w:tblPr>
      <w:tblGrid>
        <w:gridCol w:w="810"/>
        <w:gridCol w:w="711"/>
        <w:gridCol w:w="713"/>
        <w:gridCol w:w="211"/>
        <w:gridCol w:w="976"/>
        <w:gridCol w:w="109"/>
        <w:gridCol w:w="109"/>
        <w:gridCol w:w="109"/>
        <w:gridCol w:w="109"/>
        <w:gridCol w:w="211"/>
        <w:gridCol w:w="976"/>
        <w:gridCol w:w="109"/>
        <w:gridCol w:w="109"/>
        <w:gridCol w:w="109"/>
        <w:gridCol w:w="109"/>
        <w:gridCol w:w="211"/>
        <w:gridCol w:w="976"/>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Modular</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Storage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w:t>
            </w:r>
          </w:p>
        </w:tc>
      </w:tr>
      <w:tr>
        <w:trPr/>
        <w:tc>
          <w:tcPr>
            <w:tcW w:w="22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 of December 31, 2023:</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126,620 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419,709 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As of December 31, 2022:</w:t>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294,125 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419,125 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Rental equipment,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2,004,055 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3,077,287 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NOTE 19 - Earnings Per Share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Basic earnings per share (“EPS”) is calculated by dividing net income attributable to WillScot Mobile Mini common shareholders by the weighted average number of shares of Common Stock outstanding during the period. The shares of Common Stock issued as a result of the vesting of RSUs and RSAs as well as the exercise of stock options or redemption of warrants are included in EPS based on the weighted average number of days in which they were outstanding during the period. </w:t>
      </w:r>
    </w:p>
    <w:p>
      <w:pPr>
        <w:pStyle w:val="TextBody"/>
        <w:bidi w:val="0"/>
        <w:spacing w:lineRule="auto" w:line="288" w:before="0" w:after="60"/>
        <w:ind w:left="0" w:right="0" w:firstLine="720"/>
        <w:jc w:val="both"/>
        <w:rPr/>
      </w:pPr>
      <w:r>
        <w:rPr>
          <w:rFonts w:ascii="Arial;sans-serif" w:hAnsi="Arial;sans-serif"/>
          <w:b w:val="false"/>
          <w:color w:val="000000"/>
          <w:sz w:val="18"/>
        </w:rPr>
        <w:t>Diluted EPS is computed similarly to basic EPS, except that it includes the potential dilution that could occur if dilutive securities were exercised. Effects of potentially dilutive securities are present</w:t>
      </w:r>
      <w:r>
        <w:rPr>
          <w:rFonts w:ascii="Arial;sans-serif" w:hAnsi="Arial;sans-serif"/>
          <w:b w:val="false"/>
          <w:color w:val="000000"/>
          <w:sz w:val="18"/>
          <w:shd w:fill="FFFFFF" w:val="clear"/>
        </w:rPr>
        <w:t xml:space="preserve">ed only in periods in which they are dilutive. </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table reconciles income from continuing operations attributable to WillScot Mobile Mini common shareholders to net income attributable to common shareholders for the dilutive EPS calculation and the weighted average shares outstanding for the basic calculation to the weighted average shares outstanding for the diluted calculation for the years ended December 31:</w:t>
      </w:r>
    </w:p>
    <w:tbl>
      <w:tblPr>
        <w:tblW w:w="8922" w:type="dxa"/>
        <w:jc w:val="left"/>
        <w:tblInd w:w="0" w:type="dxa"/>
        <w:tblLayout w:type="fixed"/>
        <w:tblCellMar>
          <w:top w:w="28" w:type="dxa"/>
          <w:left w:w="28" w:type="dxa"/>
          <w:bottom w:w="28" w:type="dxa"/>
          <w:right w:w="28" w:type="dxa"/>
        </w:tblCellMar>
      </w:tblPr>
      <w:tblGrid>
        <w:gridCol w:w="1736"/>
        <w:gridCol w:w="1523"/>
        <w:gridCol w:w="1526"/>
        <w:gridCol w:w="211"/>
        <w:gridCol w:w="826"/>
        <w:gridCol w:w="109"/>
        <w:gridCol w:w="109"/>
        <w:gridCol w:w="109"/>
        <w:gridCol w:w="109"/>
        <w:gridCol w:w="211"/>
        <w:gridCol w:w="826"/>
        <w:gridCol w:w="109"/>
        <w:gridCol w:w="109"/>
        <w:gridCol w:w="109"/>
        <w:gridCol w:w="109"/>
        <w:gridCol w:w="211"/>
        <w:gridCol w:w="826"/>
        <w:gridCol w:w="154"/>
      </w:tblGrid>
      <w:tr>
        <w:trPr/>
        <w:tc>
          <w:tcPr>
            <w:tcW w:w="173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Numerator:</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discontinued operations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45,249 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basic</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198,555 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226,519 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effect of outstanding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Warrants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3,589 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RSAs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Time-Based RSUs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Performance-Based RSUs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 dilutive</w:t>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232,794 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60"/>
        <w:ind w:left="0" w:right="0" w:firstLine="720"/>
        <w:jc w:val="both"/>
        <w:rPr>
          <w:rFonts w:ascii="Arial;sans-serif" w:hAnsi="Arial;sans-serif"/>
          <w:b w:val="false"/>
          <w:color w:val="000000"/>
          <w:sz w:val="18"/>
        </w:rPr>
      </w:pPr>
      <w:r>
        <w:rPr>
          <w:rFonts w:ascii="Arial;sans-serif" w:hAnsi="Arial;sans-serif"/>
          <w:b w:val="false"/>
          <w:color w:val="000000"/>
          <w:sz w:val="18"/>
        </w:rPr>
        <w:t>The following potential common shares were excluded from the computation of dilutive EPS because their effect would have been anti-dilutive:</w:t>
      </w:r>
    </w:p>
    <w:tbl>
      <w:tblPr>
        <w:tblW w:w="4905" w:type="dxa"/>
        <w:jc w:val="left"/>
        <w:tblInd w:w="0" w:type="dxa"/>
        <w:tblLayout w:type="fixed"/>
        <w:tblCellMar>
          <w:top w:w="28" w:type="dxa"/>
          <w:left w:w="28" w:type="dxa"/>
          <w:bottom w:w="28" w:type="dxa"/>
          <w:right w:w="28" w:type="dxa"/>
        </w:tblCellMar>
      </w:tblPr>
      <w:tblGrid>
        <w:gridCol w:w="918"/>
        <w:gridCol w:w="671"/>
        <w:gridCol w:w="675"/>
        <w:gridCol w:w="233"/>
        <w:gridCol w:w="233"/>
        <w:gridCol w:w="176"/>
        <w:gridCol w:w="109"/>
        <w:gridCol w:w="109"/>
        <w:gridCol w:w="109"/>
        <w:gridCol w:w="233"/>
        <w:gridCol w:w="233"/>
        <w:gridCol w:w="176"/>
        <w:gridCol w:w="109"/>
        <w:gridCol w:w="109"/>
        <w:gridCol w:w="109"/>
        <w:gridCol w:w="233"/>
        <w:gridCol w:w="233"/>
        <w:gridCol w:w="237"/>
      </w:tblGrid>
      <w:tr>
        <w:trPr/>
        <w:tc>
          <w:tcPr>
            <w:tcW w:w="91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FFFFFF"/>
                <w:sz w:val="18"/>
              </w:rPr>
            </w:pPr>
            <w:r>
              <w:rPr>
                <w:rFonts w:ascii="Arial;sans-serif" w:hAnsi="Arial;sans-serif"/>
                <w:b/>
                <w:i/>
                <w:color w:val="FFFFFF"/>
                <w:sz w:val="18"/>
              </w:rPr>
              <w:t>(in thousands)</w:t>
            </w:r>
          </w:p>
        </w:tc>
        <w:tc>
          <w:tcPr>
            <w:tcW w:w="64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2021</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Time-based RSUs</w:t>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Performance-based RSUs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07"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1D2758"/>
          <w:sz w:val="26"/>
        </w:rPr>
      </w:pPr>
      <w:r>
        <w:rPr>
          <w:rFonts w:ascii="Arial;sans-serif" w:hAnsi="Arial;sans-serif"/>
          <w:b w:val="false"/>
          <w:color w:val="1D2758"/>
          <w:sz w:val="26"/>
        </w:rPr>
        <w:t>NOTE 20 - Subsequent Events</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Interest Rate Swaps</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January 2024, the Company entered into two interest rate swap agreements with financial counterparties relating to $500.0 million in aggregate notional amount of variable-rate debt under the Company's ABL Facility. Under the terms of the agreements, the Company receives a floating rate equal to one-month term SOFR and will make payments based on a weighted average fixed interest rate of 3.70% on the notional amount. The swap agreements were designated and qualified as hedges of the Company's exposure to changes in interest payment cash flows created by fluctuations in variable interest rates on the ABL Facility. The swap agreements terminate on June 30, 2027. </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Entry into an Agreement to Acquire McGrath RentCorp</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On January 28, 2024, the Company, along with its newly formed subsidiaries, Brunello Merger Sub I, Inc. (“Merger Sub I”) and Brunello Merger Sub II, LLC (“Merger Sub II”), entered into an Agreement and Plan of Merger (the “Merger Agreement”) with McGrath RentCorp ("McGrath"). Merger Sub I will merge with and into McGrath (the “First-Step Merger”), with McGrath surviving the First-Step Merger and, immediately thereafter, McGrath will merge with and into Merger Sub II (the “Second-Step Merger” and together with the First-Step Merger, the “McGrath Acquisition”), with Merger Sub II surviving the Second-Step Merger as a wholly owned subsidiary of the Company. At the effective time of the First-Step Merger, and subject to the terms and subject to the conditions set forth in the Merger Agreement, each outstanding share of the common stock of McGrath shall be converted into the right to receive either (i) $123.00 in cash or (ii) 2.8211 shares of validly issued, fully paid and nonassessable shares of the Company’s common stock. Under the terms of the Merger Agreement, we expect McGrath’s shareholders would own approximately 12.6% of the Company following the McGrath Acquisition. </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McGrath Acquisition has been approved by the Company and McGrath’s respective boards of directors. The McGrath Acquisition is subject to customary closing conditions, including receipt of regulatory approval and approval by McGrath’s shareholders, and is expected to close in the second quarter of 2024.</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 xml:space="preserve">In connection with the Merger Agreement, the Company entered into a commitment letter on January 28, 2024, which was further amended and restated on February 12, 2024 (the "Commitment Letter"), pursuant to which certain financial institutions have committed to make available to WSI, in accordance with the terms of the Commitment Letter, (i) an $875 million eight year senior secured bridge credit facility, (ii) an $875 million five year senior secured bridge credit facility and (iii) an upsize to WSI's existing $3.7 billion ABL Facility by $750 million to $4.45 billion to repay McGrath's existing credit facilities and notes, fund the cash portion of the consideration, and pay the fees, costs and expenses incurred in connection with the McGrath Acquisition and the related transactions, subject to customary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108"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left"/>
        <w:rPr>
          <w:rFonts w:ascii="Arial;sans-serif" w:hAnsi="Arial;sans-serif"/>
          <w:b/>
          <w:color w:val="000000"/>
          <w:sz w:val="44"/>
        </w:rPr>
      </w:pPr>
      <w:r>
        <w:rPr>
          <w:rFonts w:ascii="Arial;sans-serif" w:hAnsi="Arial;sans-serif"/>
          <w:b/>
          <w:color w:val="000000"/>
          <w:sz w:val="44"/>
        </w:rPr>
        <w:t>ITEM 9.    Changes in and Disagreements with Accountants on Accounting and Financial Disclosure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None.</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2160"/>
        <w:jc w:val="left"/>
        <w:rPr>
          <w:rFonts w:ascii="Arial;sans-serif" w:hAnsi="Arial;sans-serif"/>
          <w:b/>
          <w:color w:val="000000"/>
          <w:sz w:val="44"/>
        </w:rPr>
      </w:pPr>
      <w:r>
        <w:rPr>
          <w:rFonts w:ascii="Arial;sans-serif" w:hAnsi="Arial;sans-serif"/>
          <w:b/>
          <w:color w:val="000000"/>
          <w:sz w:val="44"/>
        </w:rPr>
        <w:t>ITEM 9A.    Controls and Procedures</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Evaluation of Disclosure Controls and Procedures</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Our management, with participation of our Chief Executive Officer and Chief Financial Officer, has evaluated the effectiveness of our disclosure controls and procedures as defined in Rule 13a-15(e) under the Securities Exchange Act of 1934 as amended (the “Exchange Act”) as of December 31, 2023. Based upon that evaluation, our Chief Executive Officer and Chief </w:t>
      </w:r>
      <w:r>
        <w:rPr>
          <w:rFonts w:ascii="Arial;sans-serif" w:hAnsi="Arial;sans-serif"/>
          <w:b w:val="false"/>
          <w:color w:val="000000"/>
          <w:sz w:val="18"/>
          <w:shd w:fill="FFFFFF" w:val="clear"/>
        </w:rPr>
        <w:t>Financial Officer concluded that our disclosure controls and procedures were effective as of December 31, 2023.</w:t>
      </w:r>
    </w:p>
    <w:p>
      <w:pPr>
        <w:pStyle w:val="TextBody"/>
        <w:bidi w:val="0"/>
        <w:spacing w:lineRule="auto" w:line="288" w:before="0" w:after="60"/>
        <w:jc w:val="both"/>
        <w:rPr>
          <w:rFonts w:ascii="Arial;sans-serif" w:hAnsi="Arial;sans-serif"/>
          <w:b w:val="false"/>
          <w:color w:val="1D2758"/>
          <w:sz w:val="26"/>
          <w:shd w:fill="FFFFFF" w:val="clear"/>
        </w:rPr>
      </w:pPr>
      <w:r>
        <w:rPr>
          <w:rFonts w:ascii="Arial;sans-serif" w:hAnsi="Arial;sans-serif"/>
          <w:b w:val="false"/>
          <w:color w:val="1D2758"/>
          <w:sz w:val="26"/>
          <w:shd w:fill="FFFFFF" w:val="clear"/>
        </w:rPr>
        <w:t>Management’s Report on Internal Control over Financial Reporting</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As required by SEC rules and regulations, our management is responsible for establishing and maintaining adequate internal control over financial reporting (“ICFR”), as such term is defined in Exchange Act Rule 13a-15(f). Our ICFR is designed to provide reasonable assurance regarding the reliability of financial reporting and the preparation of our consolidated financial statements for external reporting purposes in accordance with GAAP. Our ICFR includes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GAAP, and that receipts and expenditures are being made only in accordance with the authorization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60"/>
        <w:ind w:left="0" w:right="0" w:firstLine="72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ICFR, no matter how well designed, has inherent limitations and may not prevent or detect misstatements in our consolidated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60"/>
        <w:ind w:left="0" w:right="0" w:firstLine="720"/>
        <w:jc w:val="both"/>
        <w:rPr/>
      </w:pPr>
      <w:r>
        <w:rPr>
          <w:rFonts w:ascii="Arial;sans-serif" w:hAnsi="Arial;sans-serif"/>
          <w:b w:val="false"/>
          <w:color w:val="000000"/>
          <w:sz w:val="18"/>
          <w:shd w:fill="FFFFFF" w:val="clear"/>
        </w:rPr>
        <w:t xml:space="preserve">Under the supervision of the Chief Executive Officer and Chief Financial Officer, management assessed the effectiveness of the Company's ICFR as of December 31, 2023 using the criteria set forth in </w:t>
      </w:r>
      <w:r>
        <w:rPr>
          <w:rFonts w:ascii="Arial;sans-serif" w:hAnsi="Arial;sans-serif"/>
          <w:b w:val="false"/>
          <w:i/>
          <w:color w:val="000000"/>
          <w:sz w:val="18"/>
          <w:shd w:fill="FFFFFF" w:val="clear"/>
        </w:rPr>
        <w:t>Internal Control - Integrated Framework</w:t>
      </w:r>
      <w:r>
        <w:rPr>
          <w:color w:val="000000"/>
          <w:shd w:fill="FFFFFF" w:val="clear"/>
        </w:rPr>
        <w:t xml:space="preserve"> </w:t>
      </w:r>
      <w:r>
        <w:rPr>
          <w:rFonts w:ascii="Arial;sans-serif" w:hAnsi="Arial;sans-serif"/>
          <w:b w:val="false"/>
          <w:color w:val="000000"/>
          <w:sz w:val="18"/>
          <w:shd w:fill="FFFFFF" w:val="clear"/>
        </w:rPr>
        <w:t>issued by the Committee of Sponsoring Organizations of the Treadway Commission (2013 Framework). Based on that assessment, the Company's management believes that, as of December 31, 2023, the Company's ICFR was effective based on those criteria.</w:t>
      </w:r>
    </w:p>
    <w:p>
      <w:pPr>
        <w:pStyle w:val="TextBody"/>
        <w:bidi w:val="0"/>
        <w:spacing w:lineRule="auto" w:line="288" w:before="0" w:after="120"/>
        <w:ind w:left="0" w:right="0" w:firstLine="720"/>
        <w:jc w:val="both"/>
        <w:rPr/>
      </w:pPr>
      <w:r>
        <w:rPr>
          <w:rFonts w:ascii="Arial;sans-serif" w:hAnsi="Arial;sans-serif"/>
          <w:b w:val="false"/>
          <w:color w:val="000000"/>
          <w:sz w:val="18"/>
        </w:rPr>
        <w:t xml:space="preserve">The effectiveness of the Company’s ICFR as of </w:t>
      </w:r>
      <w:r>
        <w:rPr>
          <w:rFonts w:ascii="Arial;sans-serif" w:hAnsi="Arial;sans-serif"/>
          <w:b w:val="false"/>
          <w:color w:val="000000"/>
          <w:sz w:val="18"/>
          <w:shd w:fill="FFFFFF" w:val="clear"/>
        </w:rPr>
        <w:t>December 31, 2023</w:t>
      </w:r>
      <w:r>
        <w:rPr>
          <w:color w:val="000000"/>
        </w:rPr>
        <w:t xml:space="preserve"> </w:t>
      </w:r>
      <w:r>
        <w:rPr>
          <w:rFonts w:ascii="Arial;sans-serif" w:hAnsi="Arial;sans-serif"/>
          <w:b w:val="false"/>
          <w:color w:val="000000"/>
          <w:sz w:val="18"/>
        </w:rPr>
        <w:t xml:space="preserve">has been audited by Ernst &amp; Young LLP, an independent registered public accounting firm, as stated in their report appearing below, which expresses an unqualified opinion on the effectiveness of the Company’s internal control over financial reporting as of </w:t>
      </w:r>
      <w:r>
        <w:rPr>
          <w:rFonts w:ascii="Arial;sans-serif" w:hAnsi="Arial;sans-serif"/>
          <w:b w:val="false"/>
          <w:color w:val="000000"/>
          <w:sz w:val="18"/>
          <w:shd w:fill="FFFFFF" w:val="clear"/>
        </w:rPr>
        <w:t>December 31, 2023</w:t>
      </w:r>
      <w:r>
        <w:rPr>
          <w:rFonts w:ascii="Arial;sans-serif" w:hAnsi="Arial;sans-serif"/>
          <w:b w:val="false"/>
          <w:color w:val="000000"/>
          <w:sz w:val="18"/>
        </w:rPr>
        <w:t>.</w:t>
      </w:r>
    </w:p>
    <w:p>
      <w:pPr>
        <w:pStyle w:val="TextBody"/>
        <w:bidi w:val="0"/>
        <w:spacing w:lineRule="auto" w:line="288" w:before="0" w:after="60"/>
        <w:jc w:val="both"/>
        <w:rPr/>
      </w:pPr>
      <w:r>
        <w:rPr>
          <w:rFonts w:ascii="Arial;sans-serif" w:hAnsi="Arial;sans-serif"/>
          <w:b w:val="false"/>
          <w:color w:val="1D2758"/>
          <w:sz w:val="26"/>
          <w:shd w:fill="FFFFFF" w:val="clear"/>
        </w:rPr>
        <w:t>Changes in Internal C</w:t>
      </w:r>
      <w:r>
        <w:rPr>
          <w:rFonts w:ascii="Arial;sans-serif" w:hAnsi="Arial;sans-serif"/>
          <w:b w:val="false"/>
          <w:color w:val="1D2758"/>
          <w:sz w:val="26"/>
        </w:rPr>
        <w:t>ontrol over Financial Reporting</w:t>
      </w:r>
    </w:p>
    <w:p>
      <w:pPr>
        <w:pStyle w:val="TextBody"/>
        <w:bidi w:val="0"/>
        <w:spacing w:lineRule="auto" w:line="288" w:before="0" w:after="60"/>
        <w:ind w:left="0" w:right="0" w:firstLine="720"/>
        <w:jc w:val="both"/>
        <w:rPr/>
      </w:pPr>
      <w:r>
        <w:rPr>
          <w:rFonts w:ascii="Arial;sans-serif" w:hAnsi="Arial;sans-serif"/>
          <w:b w:val="false"/>
          <w:color w:val="000000"/>
          <w:sz w:val="18"/>
        </w:rPr>
        <w:t xml:space="preserve">There were no changes in our ICFR that occurred during the quarter ended </w:t>
      </w:r>
      <w:r>
        <w:rPr>
          <w:rFonts w:ascii="Arial;sans-serif" w:hAnsi="Arial;sans-serif"/>
          <w:b w:val="false"/>
          <w:color w:val="000000"/>
          <w:sz w:val="18"/>
          <w:shd w:fill="FFFFFF" w:val="clear"/>
        </w:rPr>
        <w:t>December 31, 2023</w:t>
      </w:r>
      <w:r>
        <w:rPr>
          <w:color w:val="000000"/>
        </w:rPr>
        <w:t xml:space="preserve"> </w:t>
      </w:r>
      <w:r>
        <w:rPr>
          <w:rFonts w:ascii="Arial;sans-serif" w:hAnsi="Arial;sans-serif"/>
          <w:b w:val="false"/>
          <w:color w:val="000000"/>
          <w:sz w:val="18"/>
        </w:rPr>
        <w:t>that materially affected, or are reasonably likely to materially affect, our ICFR.</w:t>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109"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104</w:t>
                      </w:r>
                    </w:p>
                  </w:txbxContent>
                </v:textbox>
                <w10:wrap type="none"/>
              </v:rect>
            </w:pict>
          </mc:Fallback>
        </mc:AlternateContent>
      </w:r>
    </w:p>
    <w:p>
      <w:pPr>
        <w:pStyle w:val="TextBody"/>
        <w:bidi w:val="0"/>
        <w:spacing w:before="0" w:after="60"/>
        <w:jc w:val="left"/>
        <w:rPr/>
      </w:pPr>
      <w:r>
        <w:rPr/>
      </w:r>
    </w:p>
    <w:p>
      <w:pPr>
        <w:pStyle w:val="TextBody"/>
        <w:bidi w:val="0"/>
        <w:spacing w:lineRule="auto" w:line="256" w:before="0" w:after="120"/>
        <w:ind w:left="0" w:right="0" w:firstLine="720"/>
        <w:jc w:val="center"/>
        <w:rPr>
          <w:rFonts w:ascii="Arial;sans-serif" w:hAnsi="Arial;sans-serif"/>
          <w:b w:val="false"/>
          <w:color w:val="1D2758"/>
          <w:sz w:val="26"/>
        </w:rPr>
      </w:pPr>
      <w:r>
        <w:rPr>
          <w:rFonts w:ascii="Arial;sans-serif" w:hAnsi="Arial;sans-serif"/>
          <w:b w:val="false"/>
          <w:color w:val="1D2758"/>
          <w:sz w:val="26"/>
        </w:rPr>
        <w:t>Report of Independent Registered Public Accounting Firm</w: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To the Shareholders and the Board of Directors of WillScot Mobile Mini Holdings Corp.</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Opinion on Internal Control Over Financial Reporting</w:t>
      </w:r>
    </w:p>
    <w:p>
      <w:pPr>
        <w:pStyle w:val="TextBody"/>
        <w:bidi w:val="0"/>
        <w:spacing w:lineRule="auto" w:line="268" w:before="0" w:after="120"/>
        <w:jc w:val="both"/>
        <w:rPr>
          <w:rFonts w:ascii="Arial;sans-serif" w:hAnsi="Arial;sans-serif"/>
          <w:b w:val="false"/>
          <w:color w:val="000000"/>
          <w:sz w:val="18"/>
        </w:rPr>
      </w:pPr>
      <w:r>
        <w:rPr>
          <w:rFonts w:ascii="Arial;sans-serif" w:hAnsi="Arial;sans-serif"/>
          <w:b w:val="false"/>
          <w:color w:val="000000"/>
          <w:sz w:val="18"/>
        </w:rPr>
        <w:t>We have audited WillScot Mobile Mini Holdings Corp.’s internal control over financial reporting as of December 31, 2023, based on criteria established in Internal Control—Integrated Framework issued by the Committee of Sponsoring Organizations of the Treadway Commission (2013 framework) (the COSO criteria). In our opinion, WillScot Mobile Mini Holdings Corp. (the Company) maintained, in all material respects, effective internal control over financial reporting as of December 31, 2023, based on the COSO criteria.</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We also have audited, in accordance with the standards of the Public Company Accounting Oversight Board (United States) (PCAOB), the 2023 consolidated financial statements of the Company and our report dated February 20, 2024 expressed an unqualified opinion thereon.</w:t>
      </w:r>
    </w:p>
    <w:p>
      <w:pPr>
        <w:pStyle w:val="TextBody"/>
        <w:bidi w:val="0"/>
        <w:spacing w:lineRule="auto" w:line="288" w:before="0" w:after="120"/>
        <w:jc w:val="left"/>
        <w:rPr>
          <w:rFonts w:ascii="Arial;sans-serif" w:hAnsi="Arial;sans-serif"/>
          <w:b/>
          <w:color w:val="333333"/>
          <w:sz w:val="20"/>
        </w:rPr>
      </w:pPr>
      <w:r>
        <w:rPr>
          <w:rFonts w:ascii="Arial;sans-serif" w:hAnsi="Arial;sans-serif"/>
          <w:b/>
          <w:color w:val="333333"/>
          <w:sz w:val="20"/>
        </w:rPr>
        <w:t>Basis for Opinion</w:t>
      </w:r>
    </w:p>
    <w:p>
      <w:pPr>
        <w:pStyle w:val="TextBody"/>
        <w:bidi w:val="0"/>
        <w:spacing w:lineRule="auto" w:line="268" w:before="0" w:after="120"/>
        <w:jc w:val="both"/>
        <w:rPr/>
      </w:pPr>
      <w:r>
        <w:rPr>
          <w:rFonts w:ascii="Arial;sans-serif" w:hAnsi="Arial;sans-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Arial;sans-serif" w:hAnsi="Arial;sans-serif"/>
          <w:b w:val="false"/>
          <w:color w:val="333333"/>
          <w:sz w:val="18"/>
        </w:rPr>
        <w:t>.</w:t>
      </w:r>
    </w:p>
    <w:p>
      <w:pPr>
        <w:pStyle w:val="TextBody"/>
        <w:bidi w:val="0"/>
        <w:spacing w:lineRule="auto" w:line="268" w:before="0" w:after="120"/>
        <w:jc w:val="both"/>
        <w:rPr>
          <w:rFonts w:ascii="Arial;sans-serif" w:hAnsi="Arial;sans-serif"/>
          <w:b w:val="false"/>
          <w:color w:val="000000"/>
          <w:sz w:val="18"/>
        </w:rPr>
      </w:pPr>
      <w:r>
        <w:rPr>
          <w:rFonts w:ascii="Arial;sans-serif" w:hAnsi="Arial;sans-serif"/>
          <w:b w:val="false"/>
          <w:color w:val="000000"/>
          <w:sz w:val="18"/>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68" w:before="0" w:after="120"/>
        <w:jc w:val="both"/>
        <w:rPr>
          <w:rFonts w:ascii="Arial;sans-serif" w:hAnsi="Arial;sans-serif"/>
          <w:b w:val="false"/>
          <w:color w:val="000000"/>
          <w:sz w:val="18"/>
        </w:rPr>
      </w:pPr>
      <w:r>
        <w:rPr>
          <w:rFonts w:ascii="Arial;sans-serif" w:hAnsi="Arial;sans-serif"/>
          <w:b w:val="false"/>
          <w:color w:val="000000"/>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120"/>
        <w:jc w:val="both"/>
        <w:rPr>
          <w:rFonts w:ascii="Arial;sans-serif" w:hAnsi="Arial;sans-serif"/>
          <w:b/>
          <w:color w:val="000000"/>
          <w:sz w:val="20"/>
        </w:rPr>
      </w:pPr>
      <w:r>
        <w:rPr>
          <w:rFonts w:ascii="Arial;sans-serif" w:hAnsi="Arial;sans-serif"/>
          <w:b/>
          <w:color w:val="000000"/>
          <w:sz w:val="20"/>
        </w:rPr>
        <w:t>Definition and Limitations of Internal Control Over Financial Reporting</w:t>
      </w:r>
    </w:p>
    <w:p>
      <w:pPr>
        <w:pStyle w:val="TextBody"/>
        <w:bidi w:val="0"/>
        <w:spacing w:lineRule="auto" w:line="268" w:before="0" w:after="120"/>
        <w:jc w:val="both"/>
        <w:rPr>
          <w:rFonts w:ascii="Arial;sans-serif" w:hAnsi="Arial;sans-serif"/>
          <w:b w:val="false"/>
          <w:color w:val="000000"/>
          <w:sz w:val="18"/>
        </w:rPr>
      </w:pPr>
      <w:r>
        <w:rPr>
          <w:rFonts w:ascii="Arial;sans-serif" w:hAnsi="Arial;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68" w:before="0" w:after="120"/>
        <w:jc w:val="both"/>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120"/>
        <w:jc w:val="left"/>
        <w:rPr/>
      </w:pPr>
      <w:r>
        <w:rPr/>
      </w:r>
    </w:p>
    <w:p>
      <w:pPr>
        <w:pStyle w:val="TextBody"/>
        <w:bidi w:val="0"/>
        <w:spacing w:lineRule="auto" w:line="276" w:before="0" w:after="120"/>
        <w:jc w:val="both"/>
        <w:rPr>
          <w:rFonts w:ascii="Arial;sans-serif" w:hAnsi="Arial;sans-serif"/>
          <w:b w:val="false"/>
          <w:color w:val="333333"/>
          <w:sz w:val="18"/>
        </w:rPr>
      </w:pPr>
      <w:r>
        <w:rPr>
          <w:rFonts w:ascii="Arial;sans-serif" w:hAnsi="Arial;sans-serif"/>
          <w:b w:val="false"/>
          <w:color w:val="333333"/>
          <w:sz w:val="18"/>
        </w:rPr>
        <w:t>/s/ Ernst &amp; Young LLP</w:t>
      </w:r>
    </w:p>
    <w:p>
      <w:pPr>
        <w:pStyle w:val="TextBody"/>
        <w:bidi w:val="0"/>
        <w:spacing w:lineRule="auto" w:line="276" w:before="0" w:after="120"/>
        <w:jc w:val="left"/>
        <w:rPr>
          <w:rFonts w:ascii="Arial;sans-serif" w:hAnsi="Arial;sans-serif"/>
          <w:b w:val="false"/>
          <w:color w:val="333333"/>
          <w:sz w:val="18"/>
        </w:rPr>
      </w:pPr>
      <w:r>
        <w:rPr>
          <w:rFonts w:ascii="Arial;sans-serif" w:hAnsi="Arial;sans-serif"/>
          <w:b w:val="false"/>
          <w:color w:val="333333"/>
          <w:sz w:val="18"/>
        </w:rPr>
        <w:t>Baltimore, Maryland</w:t>
      </w:r>
    </w:p>
    <w:p>
      <w:pPr>
        <w:pStyle w:val="TextBody"/>
        <w:bidi w:val="0"/>
        <w:spacing w:lineRule="auto" w:line="276" w:before="0" w:after="120"/>
        <w:jc w:val="left"/>
        <w:rPr>
          <w:rFonts w:ascii="Arial;sans-serif" w:hAnsi="Arial;sans-serif"/>
          <w:b w:val="false"/>
          <w:color w:val="333333"/>
          <w:sz w:val="18"/>
        </w:rPr>
      </w:pPr>
      <w:r>
        <w:rPr>
          <w:rFonts w:ascii="Arial;sans-serif" w:hAnsi="Arial;sans-serif"/>
          <w:b w:val="false"/>
          <w:color w:val="333333"/>
          <w:sz w:val="18"/>
        </w:rPr>
        <w:t>February 20,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ind w:left="0" w:right="0" w:hanging="2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110"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hanging="2160"/>
        <w:jc w:val="left"/>
        <w:rPr>
          <w:rFonts w:ascii="Arial;sans-serif" w:hAnsi="Arial;sans-serif"/>
          <w:b/>
          <w:color w:val="000000"/>
          <w:sz w:val="44"/>
        </w:rPr>
      </w:pPr>
      <w:r>
        <w:rPr>
          <w:rFonts w:ascii="Arial;sans-serif" w:hAnsi="Arial;sans-serif"/>
          <w:b/>
          <w:color w:val="000000"/>
          <w:sz w:val="44"/>
        </w:rPr>
        <w:t>ITEM 9B.    Other Information</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During the three months ended December 31, 2023, no director or Section 16 officer of the Company adopted or terminated a "Rule 10b5-1 trading arrangement" or "non-Rule 10b5-1 trading arrangement," as each term is defined in Item 408(a) of Regulation S-K.</w:t>
      </w:r>
    </w:p>
    <w:p>
      <w:pPr>
        <w:pStyle w:val="TextBody"/>
        <w:bidi w:val="0"/>
        <w:spacing w:before="0" w:after="6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111"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106</w:t>
                      </w:r>
                    </w:p>
                  </w:txbxContent>
                </v:textbox>
                <w10:wrap type="none"/>
              </v:rect>
            </w:pict>
          </mc:Fallback>
        </mc:AlternateContent>
      </w:r>
    </w:p>
    <w:p>
      <w:pPr>
        <w:pStyle w:val="TextBody"/>
        <w:bidi w:val="0"/>
        <w:spacing w:before="0" w:after="60"/>
        <w:jc w:val="left"/>
        <w:rPr/>
      </w:pPr>
      <w:r>
        <w:rPr/>
      </w:r>
    </w:p>
    <w:p>
      <w:pPr>
        <w:pStyle w:val="TextBody"/>
        <w:bidi w:val="0"/>
        <w:spacing w:lineRule="auto" w:line="331" w:before="0" w:after="200"/>
        <w:jc w:val="center"/>
        <w:rPr>
          <w:rFonts w:ascii="Arial;sans-serif" w:hAnsi="Arial;sans-serif"/>
          <w:b/>
          <w:color w:val="1D2758"/>
          <w:sz w:val="44"/>
        </w:rPr>
      </w:pPr>
      <w:r>
        <w:rPr>
          <w:rFonts w:ascii="Arial;sans-serif" w:hAnsi="Arial;sans-serif"/>
          <w:b/>
          <w:color w:val="1D2758"/>
          <w:sz w:val="4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2160"/>
        <w:jc w:val="left"/>
        <w:rPr>
          <w:rFonts w:ascii="Arial;sans-serif" w:hAnsi="Arial;sans-serif"/>
          <w:b/>
          <w:color w:val="000000"/>
          <w:sz w:val="44"/>
        </w:rPr>
      </w:pPr>
      <w:r>
        <w:rPr>
          <w:rFonts w:ascii="Arial;sans-serif" w:hAnsi="Arial;sans-serif"/>
          <w:b/>
          <w:color w:val="000000"/>
          <w:sz w:val="44"/>
        </w:rPr>
        <w:t>ITEM 10.    Directors, Executive Officers and Corporate Governance</w:t>
      </w:r>
    </w:p>
    <w:p>
      <w:pPr>
        <w:pStyle w:val="TextBody"/>
        <w:bidi w:val="0"/>
        <w:spacing w:lineRule="auto" w:line="333" w:before="0" w:after="60"/>
        <w:jc w:val="both"/>
        <w:rPr>
          <w:rFonts w:ascii="Arial;sans-serif" w:hAnsi="Arial;sans-serif"/>
          <w:b w:val="false"/>
          <w:color w:val="1D2758"/>
          <w:sz w:val="26"/>
        </w:rPr>
      </w:pPr>
      <w:r>
        <w:rPr>
          <w:rFonts w:ascii="Arial;sans-serif" w:hAnsi="Arial;sans-serif"/>
          <w:b w:val="false"/>
          <w:color w:val="1D2758"/>
          <w:sz w:val="26"/>
        </w:rPr>
        <w:t>Executive Officers</w:t>
      </w:r>
    </w:p>
    <w:p>
      <w:pPr>
        <w:pStyle w:val="TextBody"/>
        <w:bidi w:val="0"/>
        <w:spacing w:lineRule="auto" w:line="288" w:before="0" w:after="240"/>
        <w:jc w:val="left"/>
        <w:rPr>
          <w:rFonts w:ascii="Arial;sans-serif" w:hAnsi="Arial;sans-serif"/>
          <w:b w:val="false"/>
          <w:color w:val="000000"/>
          <w:sz w:val="16"/>
        </w:rPr>
      </w:pPr>
      <w:r>
        <w:rPr>
          <w:rFonts w:ascii="Arial;sans-serif" w:hAnsi="Arial;sans-serif"/>
          <w:b w:val="false"/>
          <w:color w:val="000000"/>
          <w:sz w:val="16"/>
        </w:rPr>
        <w:t>The following table sets forth information concerning our executive officers, as of February 20, 2024.</w:t>
      </w:r>
    </w:p>
    <w:tbl>
      <w:tblPr>
        <w:tblW w:w="7530" w:type="dxa"/>
        <w:jc w:val="left"/>
        <w:tblInd w:w="0" w:type="dxa"/>
        <w:tblLayout w:type="fixed"/>
        <w:tblCellMar>
          <w:top w:w="28" w:type="dxa"/>
          <w:left w:w="28" w:type="dxa"/>
          <w:bottom w:w="28" w:type="dxa"/>
          <w:right w:w="28" w:type="dxa"/>
        </w:tblCellMar>
      </w:tblPr>
      <w:tblGrid>
        <w:gridCol w:w="549"/>
        <w:gridCol w:w="479"/>
        <w:gridCol w:w="486"/>
        <w:gridCol w:w="140"/>
        <w:gridCol w:w="140"/>
        <w:gridCol w:w="141"/>
        <w:gridCol w:w="1632"/>
        <w:gridCol w:w="1632"/>
        <w:gridCol w:w="2331"/>
      </w:tblGrid>
      <w:tr>
        <w:trPr/>
        <w:tc>
          <w:tcPr>
            <w:tcW w:w="5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331"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Name</w:t>
            </w:r>
          </w:p>
        </w:tc>
        <w:tc>
          <w:tcPr>
            <w:tcW w:w="421"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Age</w:t>
            </w:r>
          </w:p>
        </w:tc>
        <w:tc>
          <w:tcPr>
            <w:tcW w:w="5595"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Title</w:t>
            </w:r>
          </w:p>
        </w:tc>
      </w:tr>
      <w:tr>
        <w:trPr/>
        <w:tc>
          <w:tcPr>
            <w:tcW w:w="1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Bradley L. Soultz</w:t>
            </w:r>
          </w:p>
        </w:tc>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54</w:t>
            </w:r>
          </w:p>
        </w:tc>
        <w:tc>
          <w:tcPr>
            <w:tcW w:w="5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Executive Officer (CEO)</w:t>
            </w:r>
          </w:p>
        </w:tc>
      </w:tr>
      <w:tr>
        <w:trPr/>
        <w:tc>
          <w:tcPr>
            <w:tcW w:w="1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D. Boswell</w:t>
            </w:r>
          </w:p>
        </w:tc>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45</w:t>
            </w:r>
          </w:p>
        </w:tc>
        <w:tc>
          <w:tcPr>
            <w:tcW w:w="5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President and Chief Financial Officer (CFO)</w:t>
            </w:r>
          </w:p>
        </w:tc>
      </w:tr>
      <w:tr>
        <w:trPr/>
        <w:tc>
          <w:tcPr>
            <w:tcW w:w="1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Hezron T. Lopez</w:t>
            </w:r>
          </w:p>
        </w:tc>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52</w:t>
            </w:r>
          </w:p>
        </w:tc>
        <w:tc>
          <w:tcPr>
            <w:tcW w:w="5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 – Chief Legal &amp; Compliance Officer &amp; ESG (CLO)</w:t>
            </w:r>
          </w:p>
        </w:tc>
      </w:tr>
      <w:tr>
        <w:trPr/>
        <w:tc>
          <w:tcPr>
            <w:tcW w:w="1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Felicia K. Gorcyca</w:t>
            </w:r>
          </w:p>
        </w:tc>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45</w:t>
            </w:r>
          </w:p>
        </w:tc>
        <w:tc>
          <w:tcPr>
            <w:tcW w:w="5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 – Chief Human Resources Officer (CHRO)</w:t>
            </w:r>
          </w:p>
        </w:tc>
      </w:tr>
      <w:tr>
        <w:trPr/>
        <w:tc>
          <w:tcPr>
            <w:tcW w:w="15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Graeme Parkes</w:t>
            </w:r>
          </w:p>
        </w:tc>
        <w:tc>
          <w:tcPr>
            <w:tcW w:w="4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51</w:t>
            </w:r>
          </w:p>
        </w:tc>
        <w:tc>
          <w:tcPr>
            <w:tcW w:w="55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Executive Vice President, Chief Information Officer (CIO)</w:t>
            </w:r>
          </w:p>
        </w:tc>
      </w:tr>
      <w:tr>
        <w:trPr/>
        <w:tc>
          <w:tcPr>
            <w:tcW w:w="15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Sally J. Shanks</w:t>
            </w:r>
          </w:p>
        </w:tc>
        <w:tc>
          <w:tcPr>
            <w:tcW w:w="4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47</w:t>
            </w:r>
          </w:p>
        </w:tc>
        <w:tc>
          <w:tcPr>
            <w:tcW w:w="55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Vice President, Chief Accounting Officer (CAO)</w:t>
            </w:r>
          </w:p>
        </w:tc>
      </w:tr>
    </w:tbl>
    <w:p>
      <w:pPr>
        <w:pStyle w:val="TextBody"/>
        <w:bidi w:val="0"/>
        <w:spacing w:lineRule="auto" w:line="288" w:before="0" w:after="240"/>
        <w:jc w:val="left"/>
        <w:rPr>
          <w:rFonts w:ascii="Arial;sans-serif" w:hAnsi="Arial;sans-serif"/>
          <w:b/>
          <w:color w:val="000000"/>
          <w:sz w:val="16"/>
        </w:rPr>
      </w:pPr>
      <w:r>
        <w:rPr>
          <w:rFonts w:ascii="Arial;sans-serif" w:hAnsi="Arial;sans-serif"/>
          <w:b/>
          <w:color w:val="000000"/>
          <w:sz w:val="16"/>
        </w:rPr>
        <w:t>Executive Officer Biographies</w:t>
      </w:r>
    </w:p>
    <w:p>
      <w:pPr>
        <w:pStyle w:val="TextBody"/>
        <w:bidi w:val="0"/>
        <w:spacing w:lineRule="auto" w:line="288" w:before="0" w:after="240"/>
        <w:jc w:val="both"/>
        <w:rPr/>
      </w:pPr>
      <w:r>
        <w:rPr/>
        <w:drawing>
          <wp:inline distT="0" distB="0" distL="0" distR="0">
            <wp:extent cx="1085850" cy="1085850"/>
            <wp:effectExtent l="0" t="0" r="0" b="0"/>
            <wp:docPr id="1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 descr=""/>
                    <pic:cNvPicPr>
                      <a:picLocks noChangeAspect="1" noChangeArrowheads="1"/>
                    </pic:cNvPicPr>
                  </pic:nvPicPr>
                  <pic:blipFill>
                    <a:blip r:embed="rId7"/>
                    <a:stretch>
                      <a:fillRect/>
                    </a:stretch>
                  </pic:blipFill>
                  <pic:spPr bwMode="auto">
                    <a:xfrm>
                      <a:off x="0" y="0"/>
                      <a:ext cx="1085850" cy="1085850"/>
                    </a:xfrm>
                    <a:prstGeom prst="rect">
                      <a:avLst/>
                    </a:prstGeom>
                  </pic:spPr>
                </pic:pic>
              </a:graphicData>
            </a:graphic>
          </wp:inline>
        </w:drawing>
      </w:r>
      <w:r>
        <w:rPr>
          <w:color w:val="1D2758"/>
        </w:rPr>
        <w:t xml:space="preserve"> </w:t>
      </w:r>
      <w:r>
        <w:rPr>
          <w:rFonts w:ascii="Arial;sans-serif" w:hAnsi="Arial;sans-serif"/>
          <w:b/>
          <w:i/>
          <w:color w:val="1D2758"/>
          <w:sz w:val="16"/>
        </w:rPr>
        <w:t>Bradley L. Soultz</w:t>
      </w:r>
      <w:r>
        <w:rPr>
          <w:color w:val="000000"/>
        </w:rPr>
        <w:t xml:space="preserve"> </w:t>
      </w:r>
      <w:r>
        <w:rPr>
          <w:rFonts w:ascii="Arial;sans-serif" w:hAnsi="Arial;sans-serif"/>
          <w:b w:val="false"/>
          <w:color w:val="000000"/>
          <w:sz w:val="16"/>
        </w:rPr>
        <w:t>Mr. Soultz is CEO of WillScot Mobile Mini and served as President and CEO of WillScot prior to the WillScot Mobile Mini merger. Prior to becoming WillScot’s President and CEO in November of 2017, he served as President and CEO of Williams Scotsman International Inc. (“WSII”). He was responsible for the strategic and operational aspects of WSII’s North American business and for helping the Company transition to a publicly traded company. Before joining WSII, Mr. Soultz was the Chief Commercial and Strategy Officer of Novelis Inc., the world leader in aluminum rolling and recycling. He previously held various leadership roles with Novelis and Cummins in Europe and North America. Mr. Soultz is a graduate of Purdue University.</w:t>
      </w:r>
    </w:p>
    <w:p>
      <w:pPr>
        <w:pStyle w:val="TextBody"/>
        <w:bidi w:val="0"/>
        <w:spacing w:lineRule="auto" w:line="288" w:before="0" w:after="240"/>
        <w:jc w:val="both"/>
        <w:rPr/>
      </w:pPr>
      <w:r>
        <w:rPr/>
        <w:drawing>
          <wp:inline distT="0" distB="0" distL="0" distR="0">
            <wp:extent cx="1104900" cy="1200150"/>
            <wp:effectExtent l="0" t="0" r="0" b="0"/>
            <wp:docPr id="1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 descr=""/>
                    <pic:cNvPicPr>
                      <a:picLocks noChangeAspect="1" noChangeArrowheads="1"/>
                    </pic:cNvPicPr>
                  </pic:nvPicPr>
                  <pic:blipFill>
                    <a:blip r:embed="rId8"/>
                    <a:stretch>
                      <a:fillRect/>
                    </a:stretch>
                  </pic:blipFill>
                  <pic:spPr bwMode="auto">
                    <a:xfrm>
                      <a:off x="0" y="0"/>
                      <a:ext cx="1104900" cy="1200150"/>
                    </a:xfrm>
                    <a:prstGeom prst="rect">
                      <a:avLst/>
                    </a:prstGeom>
                  </pic:spPr>
                </pic:pic>
              </a:graphicData>
            </a:graphic>
          </wp:inline>
        </w:drawing>
      </w:r>
      <w:r>
        <w:rPr>
          <w:color w:val="000000"/>
        </w:rPr>
        <w:t xml:space="preserve"> </w:t>
      </w:r>
      <w:r>
        <w:rPr>
          <w:rFonts w:ascii="Arial;sans-serif" w:hAnsi="Arial;sans-serif"/>
          <w:b/>
          <w:i/>
          <w:color w:val="1D2758"/>
          <w:sz w:val="16"/>
        </w:rPr>
        <w:t>Timothy D. Boswell</w:t>
      </w:r>
      <w:r>
        <w:rPr>
          <w:color w:val="000000"/>
        </w:rPr>
        <w:t xml:space="preserve"> </w:t>
      </w:r>
      <w:r>
        <w:rPr>
          <w:rFonts w:ascii="Arial;sans-serif" w:hAnsi="Arial;sans-serif"/>
          <w:b w:val="false"/>
          <w:color w:val="000000"/>
          <w:sz w:val="16"/>
        </w:rPr>
        <w:t>Mr. Boswell has served as our President and Chief Financial Officer since September 2021, having previously served as Chief Financial Officer since the completion of the Williams Scotsman carve-out transaction (formerly Algeco Scotsman) in November 2017. Mr. Boswell was previously Vice President, Finance and Treasurer of Williams Scotsman International, where he was responsible for the company’s North American finance, strategy and IT functions. He also previously served as the company’s Vice President of Strategy and Business Development, where he was responsible for the development and execution of strategic initiatives and for pricing, value-added products and services, and marketing. Prior to joining Algeco Scotsman in June 2012, Mr. Boswell was a Vice President of Sterling Partners, a Chicago-based private equity firm with $4 billion of assets under management, with responsibilities for principal investing and portfolio company management. Earlier in his career he worked at Banc of America Capital Investors, Edgeview Partners, and Bear, Stearns &amp; Co. Mr. Boswell holds a Bachelor of Arts degree in Economics and Psychology from Davidson College and a Master of Business Administration degree from the Darden School of Business at the University of Virginia.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114"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240"/>
        <w:jc w:val="both"/>
        <w:rPr/>
      </w:pPr>
      <w:r>
        <w:rPr/>
        <w:drawing>
          <wp:inline distT="0" distB="0" distL="0" distR="0">
            <wp:extent cx="1133475" cy="1133475"/>
            <wp:effectExtent l="0" t="0" r="0" b="0"/>
            <wp:docPr id="1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 descr=""/>
                    <pic:cNvPicPr>
                      <a:picLocks noChangeAspect="1" noChangeArrowheads="1"/>
                    </pic:cNvPicPr>
                  </pic:nvPicPr>
                  <pic:blipFill>
                    <a:blip r:embed="rId9"/>
                    <a:stretch>
                      <a:fillRect/>
                    </a:stretch>
                  </pic:blipFill>
                  <pic:spPr bwMode="auto">
                    <a:xfrm>
                      <a:off x="0" y="0"/>
                      <a:ext cx="1133475" cy="1133475"/>
                    </a:xfrm>
                    <a:prstGeom prst="rect">
                      <a:avLst/>
                    </a:prstGeom>
                  </pic:spPr>
                </pic:pic>
              </a:graphicData>
            </a:graphic>
          </wp:inline>
        </w:drawing>
      </w:r>
      <w:r>
        <w:rPr>
          <w:color w:val="1D2758"/>
        </w:rPr>
        <w:t xml:space="preserve"> </w:t>
      </w:r>
      <w:r>
        <w:rPr>
          <w:rFonts w:ascii="Arial;sans-serif" w:hAnsi="Arial;sans-serif"/>
          <w:b/>
          <w:i/>
          <w:color w:val="1D2758"/>
          <w:sz w:val="16"/>
        </w:rPr>
        <w:t>Hezron T. Lopez</w:t>
      </w:r>
      <w:r>
        <w:rPr>
          <w:color w:val="000000"/>
        </w:rPr>
        <w:t xml:space="preserve"> </w:t>
      </w:r>
      <w:r>
        <w:rPr>
          <w:rFonts w:ascii="Arial;sans-serif" w:hAnsi="Arial;sans-serif"/>
          <w:b w:val="false"/>
          <w:color w:val="000000"/>
          <w:sz w:val="16"/>
        </w:rPr>
        <w:t>Mr. Lopez has served as our Executive Vice President – Chief Legal &amp; Compliance Officer &amp; ESG since June 2022. He joined WillScot in June 2019 and served as Vice President, General Counsel &amp; Corporate Secretary until the merger with Mobile Mini in July 2020. Following the merger, he assumed the role of EVP - Chief Human Resources Officer &amp; ESG of WillScot Mobile Mini. Previously, Mr. Lopez served from 2012 to 2018 as Senior Vice President, General Counsel and Corporate Secretary of Herman Miller, Inc. (Nasdaq: MLHR), a manufacturer of home and office furniture. From 2008 to 2012, Mr. Lopez served as Associate General Counsel and Head of Mergers &amp; Acquisitions, Commercial and International for A.O. Smith Corporation (NYSE: AOS), the leading manufacturer of water heating equipment and water treatment products. Mr. Lopez holds a Bachelor of Science degree in City &amp; Regional Planning from California Polytechnic State University, San Luis Obispo, and a Juris Doctor degree from the Indiana University Maurer School of Law.</w:t>
      </w:r>
    </w:p>
    <w:p>
      <w:pPr>
        <w:pStyle w:val="TextBody"/>
        <w:bidi w:val="0"/>
        <w:spacing w:lineRule="auto" w:line="288" w:before="0" w:after="240"/>
        <w:jc w:val="both"/>
        <w:rPr/>
      </w:pPr>
      <w:r>
        <w:rPr/>
        <w:drawing>
          <wp:inline distT="0" distB="0" distL="0" distR="0">
            <wp:extent cx="1133475" cy="1133475"/>
            <wp:effectExtent l="0" t="0" r="0" b="0"/>
            <wp:docPr id="1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 descr=""/>
                    <pic:cNvPicPr>
                      <a:picLocks noChangeAspect="1" noChangeArrowheads="1"/>
                    </pic:cNvPicPr>
                  </pic:nvPicPr>
                  <pic:blipFill>
                    <a:blip r:embed="rId10"/>
                    <a:stretch>
                      <a:fillRect/>
                    </a:stretch>
                  </pic:blipFill>
                  <pic:spPr bwMode="auto">
                    <a:xfrm>
                      <a:off x="0" y="0"/>
                      <a:ext cx="1133475" cy="1133475"/>
                    </a:xfrm>
                    <a:prstGeom prst="rect">
                      <a:avLst/>
                    </a:prstGeom>
                  </pic:spPr>
                </pic:pic>
              </a:graphicData>
            </a:graphic>
          </wp:inline>
        </w:drawing>
      </w:r>
      <w:r>
        <w:rPr>
          <w:color w:val="002060"/>
        </w:rPr>
        <w:t xml:space="preserve"> </w:t>
      </w:r>
      <w:r>
        <w:rPr>
          <w:rFonts w:ascii="Arial;sans-serif" w:hAnsi="Arial;sans-serif"/>
          <w:b/>
          <w:i/>
          <w:color w:val="002060"/>
          <w:sz w:val="16"/>
        </w:rPr>
        <w:t>Felicia Gorcyca</w:t>
      </w:r>
      <w:r>
        <w:rPr>
          <w:color w:val="002060"/>
        </w:rPr>
        <w:t xml:space="preserve"> </w:t>
      </w:r>
      <w:r>
        <w:rPr>
          <w:rFonts w:ascii="Arial;sans-serif" w:hAnsi="Arial;sans-serif"/>
          <w:b w:val="false"/>
          <w:color w:val="000000"/>
          <w:sz w:val="16"/>
        </w:rPr>
        <w:t>Ms. Gorcyca has served as our Executive Vice President – Chief Human Resources Officer since June 2023. Ms. Gorcyca has diversified experience in strategic human resources roles, most recently as Chief People Officer for LifeStance Health (NASDAQ: LFST) and President of LifeStance Health Foundation. Previously with TPG Capital, she was an Operations Director and member of the Global Human Capital team where she partnered with TPG portfolio companies to build transformative leadership teams and boards, and expanded the TPG CHRO Network with a focus on HR strategy and practices. Prior to joining TPG, Ms. Gorcyca held senior HR leadership roles including Chief People Officer for Stack Sports, and Global Head of People Operations for Solera Holdings, Inc., where she gained extensive experience in non-U.S. labor markets. She previously served as a Consultant in the Los Angeles office of Spencer Stuart where she spent 13 years with the firm conducting executive search assignments and advising clients on leadership development and succession planning. Ms. Gorcyca holds a Master of Public Health degree with Delta Omega honors from UCLA, and a Bachelor of Science degree in International Business from Pepperdine University.</w:t>
      </w:r>
    </w:p>
    <w:p>
      <w:pPr>
        <w:pStyle w:val="TextBody"/>
        <w:bidi w:val="0"/>
        <w:spacing w:lineRule="auto" w:line="288" w:before="0" w:after="240"/>
        <w:jc w:val="both"/>
        <w:rPr/>
      </w:pPr>
      <w:r>
        <w:rPr/>
        <w:drawing>
          <wp:inline distT="0" distB="0" distL="0" distR="0">
            <wp:extent cx="1133475" cy="1209675"/>
            <wp:effectExtent l="0" t="0" r="0" b="0"/>
            <wp:docPr id="1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 descr=""/>
                    <pic:cNvPicPr>
                      <a:picLocks noChangeAspect="1" noChangeArrowheads="1"/>
                    </pic:cNvPicPr>
                  </pic:nvPicPr>
                  <pic:blipFill>
                    <a:blip r:embed="rId11"/>
                    <a:stretch>
                      <a:fillRect/>
                    </a:stretch>
                  </pic:blipFill>
                  <pic:spPr bwMode="auto">
                    <a:xfrm>
                      <a:off x="0" y="0"/>
                      <a:ext cx="1133475" cy="1209675"/>
                    </a:xfrm>
                    <a:prstGeom prst="rect">
                      <a:avLst/>
                    </a:prstGeom>
                  </pic:spPr>
                </pic:pic>
              </a:graphicData>
            </a:graphic>
          </wp:inline>
        </w:drawing>
      </w:r>
      <w:r>
        <w:rPr>
          <w:color w:val="000000"/>
        </w:rPr>
        <w:t xml:space="preserve"> </w:t>
      </w:r>
      <w:r>
        <w:rPr>
          <w:rFonts w:ascii="Arial;sans-serif" w:hAnsi="Arial;sans-serif"/>
          <w:b/>
          <w:i/>
          <w:color w:val="002060"/>
          <w:sz w:val="16"/>
        </w:rPr>
        <w:t>Graeme Parkes</w:t>
      </w:r>
      <w:r>
        <w:rPr>
          <w:color w:val="002060"/>
        </w:rPr>
        <w:t xml:space="preserve"> </w:t>
      </w:r>
      <w:r>
        <w:rPr>
          <w:rFonts w:ascii="Arial;sans-serif" w:hAnsi="Arial;sans-serif"/>
          <w:b w:val="false"/>
          <w:color w:val="000000"/>
          <w:sz w:val="16"/>
        </w:rPr>
        <w:t>Mr. Parkes has served as our Executive Vice President – Chief Information Officer since the merger with Mobile Mini in July 2020. He previously served as CIO for Mobile Mini, which he joined in 2014. Mr. Parkes has a proven international track record in information technology, information security, software development and supporting the growth of the businesses through IT related revenue generating programs. He also serves as Vice Chairman of the board of St. Mary’s Foodbank, the oldest and one of the largest Foodbanks in America. Mr. Parkes received a Bachelor of Commerce degree in Information Systems from the University of KwaZulu-Natal in South Africa.</w:t>
      </w:r>
    </w:p>
    <w:p>
      <w:pPr>
        <w:pStyle w:val="TextBody"/>
        <w:bidi w:val="0"/>
        <w:spacing w:lineRule="auto" w:line="288" w:before="0" w:after="240"/>
        <w:jc w:val="both"/>
        <w:rPr/>
      </w:pPr>
      <w:r>
        <w:rPr/>
        <w:drawing>
          <wp:inline distT="0" distB="0" distL="0" distR="0">
            <wp:extent cx="1371600" cy="1266825"/>
            <wp:effectExtent l="0" t="0" r="0" b="0"/>
            <wp:docPr id="1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 descr=""/>
                    <pic:cNvPicPr>
                      <a:picLocks noChangeAspect="1" noChangeArrowheads="1"/>
                    </pic:cNvPicPr>
                  </pic:nvPicPr>
                  <pic:blipFill>
                    <a:blip r:embed="rId12"/>
                    <a:stretch>
                      <a:fillRect/>
                    </a:stretch>
                  </pic:blipFill>
                  <pic:spPr bwMode="auto">
                    <a:xfrm>
                      <a:off x="0" y="0"/>
                      <a:ext cx="1371600" cy="1266825"/>
                    </a:xfrm>
                    <a:prstGeom prst="rect">
                      <a:avLst/>
                    </a:prstGeom>
                  </pic:spPr>
                </pic:pic>
              </a:graphicData>
            </a:graphic>
          </wp:inline>
        </w:drawing>
      </w:r>
      <w:r>
        <w:rPr>
          <w:rFonts w:ascii="Arial;sans-serif" w:hAnsi="Arial;sans-serif"/>
          <w:b/>
          <w:i/>
          <w:color w:val="1D2758"/>
          <w:sz w:val="16"/>
        </w:rPr>
        <w:t>Sally J. Shanks</w:t>
      </w:r>
      <w:r>
        <w:rPr>
          <w:color w:val="000000"/>
        </w:rPr>
        <w:t xml:space="preserve"> </w:t>
      </w:r>
      <w:r>
        <w:rPr>
          <w:rFonts w:ascii="Arial;sans-serif" w:hAnsi="Arial;sans-serif"/>
          <w:b w:val="false"/>
          <w:color w:val="000000"/>
          <w:sz w:val="16"/>
        </w:rPr>
        <w:t>Ms. Shanks has served as our Senior Vice President – Chief Accounting Officer since 2022, having served as Chief Accounting Officer for WillScot since 2017. She is responsible for the Company’s accounting, reporting and tax functions. Ms. Shanks joined WillScot Mobile Mini from Merkle Inc., a global technology-enabled performance marketing agency, where she served in various financial leadership roles from 2009 - 2017, including Senior Vice President, Accounting &amp; Treasury. Prior to that she held the role of Director of Accounting and Reporting for Laureate Education. Ms. Shanks started her career with PricewaterhouseCoopers, holds a Bachelor of Science degree in Accounting from Providence College, and is a certified public accountant.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119"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108</w:t>
                      </w:r>
                    </w:p>
                  </w:txbxContent>
                </v:textbox>
                <w10:wrap type="none"/>
              </v:rect>
            </w:pict>
          </mc:Fallback>
        </mc:AlternateContent>
      </w:r>
    </w:p>
    <w:p>
      <w:pPr>
        <w:pStyle w:val="TextBody"/>
        <w:bidi w:val="0"/>
        <w:spacing w:before="0" w:after="60"/>
        <w:jc w:val="left"/>
        <w:rPr/>
      </w:pPr>
      <w:r>
        <w:rPr/>
      </w:r>
    </w:p>
    <w:p>
      <w:pPr>
        <w:pStyle w:val="TextBody"/>
        <w:bidi w:val="0"/>
        <w:spacing w:lineRule="auto" w:line="333" w:before="0" w:after="60"/>
        <w:jc w:val="both"/>
        <w:rPr>
          <w:rFonts w:ascii="Arial;sans-serif" w:hAnsi="Arial;sans-serif"/>
          <w:b w:val="false"/>
          <w:color w:val="1D2758"/>
          <w:sz w:val="26"/>
        </w:rPr>
      </w:pPr>
      <w:r>
        <w:rPr>
          <w:rFonts w:ascii="Arial;sans-serif" w:hAnsi="Arial;sans-serif"/>
          <w:b w:val="false"/>
          <w:color w:val="1D2758"/>
          <w:sz w:val="26"/>
        </w:rPr>
        <w:t>Non-Executive Directors</w:t>
      </w:r>
    </w:p>
    <w:p>
      <w:pPr>
        <w:pStyle w:val="TextBody"/>
        <w:bidi w:val="0"/>
        <w:spacing w:lineRule="auto" w:line="240" w:before="0" w:after="240"/>
        <w:jc w:val="both"/>
        <w:rPr>
          <w:rFonts w:ascii="Arial;sans-serif" w:hAnsi="Arial;sans-serif"/>
          <w:b w:val="false"/>
          <w:color w:val="000000"/>
          <w:sz w:val="16"/>
        </w:rPr>
      </w:pPr>
      <w:r>
        <w:rPr>
          <w:rFonts w:ascii="Arial;sans-serif" w:hAnsi="Arial;sans-serif"/>
          <w:b w:val="false"/>
          <w:color w:val="000000"/>
          <w:sz w:val="16"/>
        </w:rPr>
        <w:t>The names of the non-executive members of our Board, their respective ages and other biographical information as of February 20, 2024 are set forth below. All Directors serve for a term ending at the next annual meeting following the annual meeting at which the Director was elected or following their appointment, as applicable, and until their successors are elected and qualified, or until their earlier death, resignation, disqualification or removal.</w:t>
      </w:r>
    </w:p>
    <w:tbl>
      <w:tblPr>
        <w:tblW w:w="10205" w:type="dxa"/>
        <w:jc w:val="center"/>
        <w:tblInd w:w="0" w:type="dxa"/>
        <w:tblLayout w:type="fixed"/>
        <w:tblCellMar>
          <w:top w:w="28" w:type="dxa"/>
          <w:left w:w="28" w:type="dxa"/>
          <w:bottom w:w="28" w:type="dxa"/>
          <w:right w:w="28" w:type="dxa"/>
        </w:tblCellMar>
      </w:tblPr>
      <w:tblGrid>
        <w:gridCol w:w="1028"/>
        <w:gridCol w:w="734"/>
        <w:gridCol w:w="739"/>
        <w:gridCol w:w="481"/>
        <w:gridCol w:w="481"/>
        <w:gridCol w:w="483"/>
        <w:gridCol w:w="1829"/>
        <w:gridCol w:w="1829"/>
        <w:gridCol w:w="2601"/>
      </w:tblGrid>
      <w:tr>
        <w:trPr/>
        <w:tc>
          <w:tcPr>
            <w:tcW w:w="102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25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Mark S. Bartlett</w:t>
            </w:r>
          </w:p>
        </w:tc>
        <w:tc>
          <w:tcPr>
            <w:tcW w:w="14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209675" cy="1209675"/>
                  <wp:effectExtent l="0" t="0" r="0" b="0"/>
                  <wp:docPr id="1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 descr=""/>
                          <pic:cNvPicPr>
                            <a:picLocks noChangeAspect="1" noChangeArrowheads="1"/>
                          </pic:cNvPicPr>
                        </pic:nvPicPr>
                        <pic:blipFill>
                          <a:blip r:embed="rId13"/>
                          <a:stretch>
                            <a:fillRect/>
                          </a:stretch>
                        </pic:blipFill>
                        <pic:spPr bwMode="auto">
                          <a:xfrm>
                            <a:off x="0" y="0"/>
                            <a:ext cx="1209675" cy="1209675"/>
                          </a:xfrm>
                          <a:prstGeom prst="rect">
                            <a:avLst/>
                          </a:prstGeom>
                        </pic:spPr>
                      </pic:pic>
                    </a:graphicData>
                  </a:graphic>
                </wp:inline>
              </w:drawing>
            </w:r>
          </w:p>
        </w:tc>
        <w:tc>
          <w:tcPr>
            <w:tcW w:w="1445" w:type="dxa"/>
            <w:gridSpan w:val="3"/>
            <w:tcBorders/>
            <w:tcMar>
              <w:top w:w="0" w:type="dxa"/>
              <w:left w:w="0" w:type="dxa"/>
              <w:bottom w:w="0" w:type="dxa"/>
              <w:right w:w="0" w:type="dxa"/>
            </w:tcMar>
            <w:vAlign w:val="center"/>
          </w:tcPr>
          <w:p>
            <w:pPr>
              <w:pStyle w:val="TableContents"/>
              <w:bidi w:val="0"/>
              <w:spacing w:lineRule="auto" w:line="288"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88" w:before="60" w:after="60"/>
              <w:jc w:val="left"/>
              <w:rPr/>
            </w:pPr>
            <w:r>
              <w:rPr>
                <w:rFonts w:ascii="Arial;sans-serif" w:hAnsi="Arial;sans-serif"/>
                <w:b w:val="false"/>
                <w:color w:val="000000"/>
                <w:sz w:val="16"/>
              </w:rPr>
              <w:t>Director Since:    </w:t>
            </w:r>
            <w:r>
              <w:rPr>
                <w:rFonts w:ascii="Arial;sans-serif" w:hAnsi="Arial;sans-serif"/>
                <w:b/>
                <w:color w:val="00205B"/>
                <w:sz w:val="16"/>
              </w:rPr>
              <w:t>2017</w:t>
            </w:r>
          </w:p>
          <w:p>
            <w:pPr>
              <w:pStyle w:val="TableContents"/>
              <w:bidi w:val="0"/>
              <w:spacing w:lineRule="auto" w:line="288" w:before="60" w:after="60"/>
              <w:jc w:val="left"/>
              <w:rPr/>
            </w:pPr>
            <w:r>
              <w:rPr>
                <w:rFonts w:ascii="Arial;sans-serif" w:hAnsi="Arial;sans-serif"/>
                <w:b w:val="false"/>
                <w:color w:val="000000"/>
                <w:sz w:val="16"/>
              </w:rPr>
              <w:t xml:space="preserve">Age: </w:t>
            </w:r>
            <w:r>
              <w:rPr>
                <w:rFonts w:ascii="Arial;sans-serif" w:hAnsi="Arial;sans-serif"/>
                <w:b/>
                <w:color w:val="00205B"/>
                <w:sz w:val="16"/>
              </w:rPr>
              <w:t>73</w:t>
            </w:r>
          </w:p>
        </w:tc>
        <w:tc>
          <w:tcPr>
            <w:tcW w:w="6259" w:type="dxa"/>
            <w:gridSpan w:val="3"/>
            <w:tcBorders/>
            <w:tcMar>
              <w:top w:w="0" w:type="dxa"/>
              <w:left w:w="0" w:type="dxa"/>
              <w:bottom w:w="0" w:type="dxa"/>
              <w:right w:w="0" w:type="dxa"/>
            </w:tcMar>
            <w:vAlign w:val="center"/>
          </w:tcPr>
          <w:p>
            <w:pPr>
              <w:pStyle w:val="TableContents"/>
              <w:bidi w:val="0"/>
              <w:spacing w:lineRule="auto" w:line="288"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88" w:before="60" w:after="60"/>
              <w:jc w:val="left"/>
              <w:rPr/>
            </w:pPr>
            <w:r>
              <w:rPr>
                <w:rFonts w:ascii="Arial;sans-serif" w:hAnsi="Arial;sans-serif"/>
                <w:b w:val="false"/>
                <w:color w:val="1D2758"/>
                <w:sz w:val="16"/>
              </w:rPr>
              <w:t xml:space="preserve">&amp; </w:t>
            </w:r>
            <w:r>
              <w:rPr>
                <w:rFonts w:ascii="Arial;sans-serif" w:hAnsi="Arial;sans-serif"/>
                <w:b w:val="false"/>
                <w:color w:val="000000"/>
                <w:sz w:val="16"/>
              </w:rPr>
              <w:t xml:space="preserve">Leadership </w:t>
            </w:r>
            <w:r>
              <w:rPr>
                <w:rFonts w:ascii="Wingdings;sans-serif" w:hAnsi="Wingdings;sans-serif"/>
                <w:b/>
                <w:color w:val="1D2758"/>
                <w:sz w:val="16"/>
              </w:rPr>
              <w:t xml:space="preserve">O </w:t>
            </w:r>
            <w:r>
              <w:rPr>
                <w:rFonts w:ascii="Arial;sans-serif" w:hAnsi="Arial;sans-serif"/>
                <w:b w:val="false"/>
                <w:color w:val="000000"/>
                <w:sz w:val="16"/>
              </w:rPr>
              <w:t xml:space="preserve">Independence </w:t>
            </w:r>
            <w:r>
              <w:rPr>
                <w:rFonts w:ascii="Wingdings;sans-serif" w:hAnsi="Wingdings;sans-serif"/>
                <w:b/>
                <w:color w:val="1D2758"/>
                <w:sz w:val="16"/>
              </w:rPr>
              <w:t xml:space="preserve">% </w:t>
            </w:r>
            <w:r>
              <w:rPr>
                <w:rFonts w:ascii="Arial;sans-serif" w:hAnsi="Arial;sans-serif"/>
                <w:b w:val="false"/>
                <w:color w:val="000000"/>
                <w:sz w:val="16"/>
              </w:rPr>
              <w:t>Industry</w:t>
            </w:r>
          </w:p>
          <w:p>
            <w:pPr>
              <w:pStyle w:val="TableContents"/>
              <w:bidi w:val="0"/>
              <w:spacing w:lineRule="auto" w:line="288" w:before="60" w:after="60"/>
              <w:jc w:val="left"/>
              <w:rPr/>
            </w:pPr>
            <w:r>
              <w:rPr>
                <w:rFonts w:ascii="Wingdings;sans-serif" w:hAnsi="Wingdings;sans-serif"/>
                <w:b w:val="false"/>
                <w:color w:val="1D2758"/>
                <w:sz w:val="16"/>
              </w:rPr>
              <w:t xml:space="preserve">6 </w:t>
            </w:r>
            <w:r>
              <w:rPr>
                <w:rFonts w:ascii="Arial;sans-serif" w:hAnsi="Arial;sans-serif"/>
                <w:b w:val="false"/>
                <w:color w:val="000000"/>
                <w:sz w:val="16"/>
              </w:rPr>
              <w:t xml:space="preserve">Strategy     </w:t>
            </w:r>
            <w:r>
              <w:rPr>
                <w:rFonts w:ascii="Wingdings;sans-serif" w:hAnsi="Wingdings;sans-serif"/>
                <w:b w:val="false"/>
                <w:color w:val="1D2758"/>
                <w:sz w:val="16"/>
              </w:rPr>
              <w:t xml:space="preserve">: </w:t>
            </w:r>
            <w:r>
              <w:rPr>
                <w:rFonts w:ascii="Arial;sans-serif" w:hAnsi="Arial;sans-serif"/>
                <w:b w:val="false"/>
                <w:color w:val="000000"/>
                <w:sz w:val="16"/>
              </w:rPr>
              <w:t xml:space="preserve">Public Company </w:t>
            </w:r>
            <w:r>
              <w:rPr>
                <w:rFonts w:ascii="Wingdings;sans-serif" w:hAnsi="Wingdings;sans-serif"/>
                <w:b/>
                <w:color w:val="1D2758"/>
                <w:sz w:val="16"/>
              </w:rPr>
              <w:t xml:space="preserve">8 </w:t>
            </w:r>
            <w:r>
              <w:rPr>
                <w:rFonts w:ascii="Arial;sans-serif" w:hAnsi="Arial;sans-serif"/>
                <w:b w:val="false"/>
                <w:color w:val="000000"/>
                <w:sz w:val="16"/>
              </w:rPr>
              <w:t>Finance</w:t>
            </w:r>
          </w:p>
          <w:p>
            <w:pPr>
              <w:pStyle w:val="TableContents"/>
              <w:bidi w:val="0"/>
              <w:spacing w:lineRule="auto" w:line="288" w:before="60" w:after="30"/>
              <w:jc w:val="both"/>
              <w:rPr>
                <w:rFonts w:ascii="Arial;sans-serif" w:hAnsi="Arial;sans-serif"/>
                <w:b w:val="false"/>
                <w:color w:val="000000"/>
                <w:sz w:val="16"/>
              </w:rPr>
            </w:pPr>
            <w:r>
              <w:rPr>
                <w:rFonts w:ascii="Arial;sans-serif" w:hAnsi="Arial;sans-serif"/>
                <w:b w:val="false"/>
                <w:color w:val="000000"/>
                <w:sz w:val="16"/>
              </w:rPr>
              <w:t>The Board believes Mr. Bartlett’s risk and oversight, accounting and finance expertise, experience as a director of public and private companies, and knowledge of our Company and industry enables him to provide meaningful guidance to our Board.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Mr. Bartlett has served as a Director since 2017 including as a Director of WillScot Mobile Mini since the completion of the WillScot Mobile Mini merger. Mr. Bartlett spent his entire career with Ernst &amp; Young LLP, serving in various executive roles before retiring as partner in 2012. He serves as a director and member of the Audit Committee at FTI Consulting, Inc., and director and Chair of the Audit Committee at each of Zurn Water Solutions and T. Rowe Price Group, Inc. Mr. Bartlett is a graduate of West Virginia University and a Certified Public Accountant.</w:t>
            </w:r>
          </w:p>
        </w:tc>
      </w:tr>
      <w:tr>
        <w:trPr/>
        <w:tc>
          <w:tcPr>
            <w:tcW w:w="3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259"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946" w:type="dxa"/>
            <w:gridSpan w:val="6"/>
            <w:tcBorders/>
            <w:tcMar>
              <w:top w:w="0" w:type="dxa"/>
              <w:left w:w="0" w:type="dxa"/>
              <w:bottom w:w="0" w:type="dxa"/>
              <w:right w:w="0" w:type="dxa"/>
            </w:tcMar>
            <w:vAlign w:val="center"/>
          </w:tcPr>
          <w:p>
            <w:pPr>
              <w:pStyle w:val="TableContents"/>
              <w:bidi w:val="0"/>
              <w:spacing w:lineRule="auto" w:line="240" w:before="53" w:after="60"/>
              <w:jc w:val="left"/>
              <w:rPr>
                <w:color w:val="000000"/>
              </w:rPr>
            </w:pPr>
            <w:r>
              <w:rPr>
                <w:color w:val="000000"/>
              </w:rPr>
              <w:t xml:space="preserve">• </w:t>
            </w:r>
            <w:r>
              <w:rPr>
                <w:rFonts w:ascii="Arial;sans-serif" w:hAnsi="Arial;sans-serif"/>
                <w:b w:val="false"/>
                <w:color w:val="000000"/>
                <w:sz w:val="16"/>
              </w:rPr>
              <w:t>FTI Consulting, Inc.</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Zurn Water Solutions</w:t>
            </w:r>
          </w:p>
          <w:p>
            <w:pPr>
              <w:pStyle w:val="TableContents"/>
              <w:bidi w:val="0"/>
              <w:spacing w:lineRule="auto" w:line="240" w:before="60" w:after="30"/>
              <w:jc w:val="left"/>
              <w:rPr>
                <w:color w:val="000000"/>
              </w:rPr>
            </w:pPr>
            <w:r>
              <w:rPr>
                <w:color w:val="000000"/>
              </w:rPr>
              <w:t xml:space="preserve">• </w:t>
            </w:r>
            <w:r>
              <w:rPr>
                <w:rFonts w:ascii="Arial;sans-serif" w:hAnsi="Arial;sans-serif"/>
                <w:b w:val="false"/>
                <w:color w:val="000000"/>
                <w:sz w:val="16"/>
              </w:rPr>
              <w:t>T. Rowe Price Group, Inc.</w:t>
            </w:r>
          </w:p>
        </w:tc>
        <w:tc>
          <w:tcPr>
            <w:tcW w:w="6259" w:type="dxa"/>
            <w:gridSpan w:val="3"/>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val="false"/>
                <w:color w:val="000000"/>
                <w:sz w:val="16"/>
              </w:rPr>
            </w:pPr>
            <w:r>
              <w:rPr>
                <w:rFonts w:ascii="Arial;sans-serif" w:hAnsi="Arial;sans-serif"/>
                <w:b w:val="false"/>
                <w:color w:val="000000"/>
                <w:sz w:val="16"/>
              </w:rPr>
              <w:t>Audit Committee - Chair</w:t>
            </w:r>
          </w:p>
          <w:p>
            <w:pPr>
              <w:pStyle w:val="TableContents"/>
              <w:bidi w:val="0"/>
              <w:spacing w:lineRule="auto" w:line="240" w:before="60" w:after="30"/>
              <w:jc w:val="left"/>
              <w:rPr>
                <w:rFonts w:ascii="Arial;sans-serif" w:hAnsi="Arial;sans-serif"/>
                <w:b w:val="false"/>
                <w:color w:val="000000"/>
                <w:sz w:val="16"/>
              </w:rPr>
            </w:pPr>
            <w:r>
              <w:rPr>
                <w:rFonts w:ascii="Arial;sans-serif" w:hAnsi="Arial;sans-serif"/>
                <w:b w:val="false"/>
                <w:color w:val="000000"/>
                <w:sz w:val="16"/>
              </w:rPr>
              <w:t>Compensation Committee</w:t>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Erika T. Davis</w:t>
            </w:r>
          </w:p>
        </w:tc>
        <w:tc>
          <w:tcPr>
            <w:tcW w:w="144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1"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352550" cy="1352550"/>
                  <wp:effectExtent l="0" t="0" r="0" b="0"/>
                  <wp:docPr id="1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3" descr=""/>
                          <pic:cNvPicPr>
                            <a:picLocks noChangeAspect="1" noChangeArrowheads="1"/>
                          </pic:cNvPicPr>
                        </pic:nvPicPr>
                        <pic:blipFill>
                          <a:blip r:embed="rId14"/>
                          <a:stretch>
                            <a:fillRect/>
                          </a:stretch>
                        </pic:blipFill>
                        <pic:spPr bwMode="auto">
                          <a:xfrm>
                            <a:off x="0" y="0"/>
                            <a:ext cx="1352550" cy="1352550"/>
                          </a:xfrm>
                          <a:prstGeom prst="rect">
                            <a:avLst/>
                          </a:prstGeom>
                        </pic:spPr>
                      </pic:pic>
                    </a:graphicData>
                  </a:graphic>
                </wp:inline>
              </w:drawing>
            </w:r>
          </w:p>
        </w:tc>
        <w:tc>
          <w:tcPr>
            <w:tcW w:w="1445" w:type="dxa"/>
            <w:gridSpan w:val="3"/>
            <w:tcBorders/>
            <w:tcMar>
              <w:top w:w="0" w:type="dxa"/>
              <w:left w:w="0" w:type="dxa"/>
              <w:bottom w:w="0" w:type="dxa"/>
              <w:right w:w="0" w:type="dxa"/>
            </w:tcMar>
            <w:vAlign w:val="center"/>
          </w:tcPr>
          <w:p>
            <w:pPr>
              <w:pStyle w:val="TableContents"/>
              <w:bidi w:val="0"/>
              <w:spacing w:lineRule="auto" w:line="288"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88" w:before="60" w:after="60"/>
              <w:jc w:val="left"/>
              <w:rPr/>
            </w:pPr>
            <w:r>
              <w:rPr>
                <w:rFonts w:ascii="Arial;sans-serif" w:hAnsi="Arial;sans-serif"/>
                <w:b w:val="false"/>
                <w:color w:val="000000"/>
                <w:sz w:val="16"/>
              </w:rPr>
              <w:t>Director Since:    </w:t>
            </w:r>
            <w:r>
              <w:rPr>
                <w:rFonts w:ascii="Arial;sans-serif" w:hAnsi="Arial;sans-serif"/>
                <w:b/>
                <w:color w:val="00205B"/>
                <w:sz w:val="16"/>
              </w:rPr>
              <w:t>2022</w:t>
            </w:r>
          </w:p>
          <w:p>
            <w:pPr>
              <w:pStyle w:val="TableContents"/>
              <w:bidi w:val="0"/>
              <w:spacing w:lineRule="auto" w:line="288" w:before="60" w:after="60"/>
              <w:jc w:val="left"/>
              <w:rPr/>
            </w:pPr>
            <w:r>
              <w:rPr>
                <w:rFonts w:ascii="Arial;sans-serif" w:hAnsi="Arial;sans-serif"/>
                <w:b w:val="false"/>
                <w:color w:val="000000"/>
                <w:sz w:val="16"/>
              </w:rPr>
              <w:t xml:space="preserve">Age: </w:t>
            </w:r>
            <w:r>
              <w:rPr>
                <w:rFonts w:ascii="Arial;sans-serif" w:hAnsi="Arial;sans-serif"/>
                <w:b/>
                <w:color w:val="00205B"/>
                <w:sz w:val="16"/>
              </w:rPr>
              <w:t>59</w:t>
            </w:r>
          </w:p>
          <w:p>
            <w:pPr>
              <w:pStyle w:val="TableContents"/>
              <w:bidi w:val="0"/>
              <w:spacing w:before="60" w:after="60"/>
              <w:jc w:val="left"/>
              <w:rPr/>
            </w:pPr>
            <w:r>
              <w:rPr/>
            </w:r>
          </w:p>
        </w:tc>
        <w:tc>
          <w:tcPr>
            <w:tcW w:w="6259" w:type="dxa"/>
            <w:gridSpan w:val="3"/>
            <w:tcBorders/>
            <w:tcMar>
              <w:top w:w="0" w:type="dxa"/>
              <w:left w:w="0" w:type="dxa"/>
              <w:bottom w:w="0" w:type="dxa"/>
              <w:right w:w="0" w:type="dxa"/>
            </w:tcMar>
            <w:vAlign w:val="center"/>
          </w:tcPr>
          <w:p>
            <w:pPr>
              <w:pStyle w:val="TableContents"/>
              <w:bidi w:val="0"/>
              <w:spacing w:lineRule="auto" w:line="288"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88" w:before="60" w:after="60"/>
              <w:jc w:val="left"/>
              <w:rPr/>
            </w:pPr>
            <w:r>
              <w:rPr>
                <w:rFonts w:ascii="Arial;sans-serif" w:hAnsi="Arial;sans-serif"/>
                <w:b w:val="false"/>
                <w:color w:val="1D2758"/>
                <w:sz w:val="18"/>
              </w:rPr>
              <w:t xml:space="preserve">&amp; </w:t>
            </w:r>
            <w:r>
              <w:rPr>
                <w:rFonts w:ascii="Arial;sans-serif" w:hAnsi="Arial;sans-serif"/>
                <w:b w:val="false"/>
                <w:color w:val="000000"/>
                <w:sz w:val="16"/>
              </w:rPr>
              <w:t xml:space="preserve">Leadership </w:t>
            </w:r>
            <w:r>
              <w:rPr>
                <w:rFonts w:ascii="Wingdings;sans-serif" w:hAnsi="Wingdings;sans-serif"/>
                <w:b/>
                <w:color w:val="1D2758"/>
                <w:sz w:val="18"/>
              </w:rPr>
              <w:t xml:space="preserve">O </w:t>
            </w:r>
            <w:r>
              <w:rPr>
                <w:rFonts w:ascii="Arial;sans-serif" w:hAnsi="Arial;sans-serif"/>
                <w:b w:val="false"/>
                <w:color w:val="000000"/>
                <w:sz w:val="16"/>
              </w:rPr>
              <w:t>Independence</w:t>
            </w:r>
          </w:p>
          <w:p>
            <w:pPr>
              <w:pStyle w:val="TableContents"/>
              <w:bidi w:val="0"/>
              <w:spacing w:lineRule="auto" w:line="288" w:before="60" w:after="60"/>
              <w:jc w:val="left"/>
              <w:rPr/>
            </w:pPr>
            <w:r>
              <w:rPr>
                <w:rFonts w:ascii="Wingdings;sans-serif" w:hAnsi="Wingdings;sans-serif"/>
                <w:b w:val="false"/>
                <w:color w:val="1D2758"/>
                <w:sz w:val="18"/>
              </w:rPr>
              <w:t xml:space="preserve">6 </w:t>
            </w:r>
            <w:r>
              <w:rPr>
                <w:rFonts w:ascii="Arial;sans-serif" w:hAnsi="Arial;sans-serif"/>
                <w:b w:val="false"/>
                <w:color w:val="000000"/>
                <w:sz w:val="16"/>
              </w:rPr>
              <w:t xml:space="preserve">Strategy     </w:t>
            </w:r>
            <w:r>
              <w:rPr>
                <w:rFonts w:ascii="Wingdings;sans-serif" w:hAnsi="Wingdings;sans-serif"/>
                <w:b w:val="false"/>
                <w:color w:val="1D2758"/>
                <w:sz w:val="18"/>
              </w:rPr>
              <w:t xml:space="preserve">: </w:t>
            </w:r>
            <w:r>
              <w:rPr>
                <w:rFonts w:ascii="Arial;sans-serif" w:hAnsi="Arial;sans-serif"/>
                <w:b w:val="false"/>
                <w:color w:val="000000"/>
                <w:sz w:val="16"/>
              </w:rPr>
              <w:t>Public Company</w:t>
            </w:r>
          </w:p>
          <w:p>
            <w:pPr>
              <w:pStyle w:val="TableContents"/>
              <w:bidi w:val="0"/>
              <w:spacing w:lineRule="auto" w:line="288" w:before="60" w:after="30"/>
              <w:jc w:val="both"/>
              <w:rPr>
                <w:rFonts w:ascii="Arial;sans-serif" w:hAnsi="Arial;sans-serif"/>
                <w:b w:val="false"/>
                <w:color w:val="000000"/>
                <w:sz w:val="16"/>
              </w:rPr>
            </w:pPr>
            <w:r>
              <w:rPr>
                <w:rFonts w:ascii="Arial;sans-serif" w:hAnsi="Arial;sans-serif"/>
                <w:b w:val="false"/>
                <w:color w:val="000000"/>
                <w:sz w:val="16"/>
              </w:rPr>
              <w:t>The Board believes Ms. Davis’ experience in Human Resources and various Operational and Administrative roles, as well as her leadership experience at large publicly traded companies in the areas of M&amp;A integration, technology and customer-facing support, enables her to provide meaningful guidance to our Board.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53" w:after="283"/>
              <w:jc w:val="both"/>
              <w:rPr>
                <w:rFonts w:ascii="Arial;sans-serif" w:hAnsi="Arial;sans-serif"/>
                <w:b w:val="false"/>
                <w:color w:val="000000"/>
                <w:sz w:val="16"/>
              </w:rPr>
            </w:pPr>
            <w:r>
              <w:rPr>
                <w:rFonts w:ascii="Arial;sans-serif" w:hAnsi="Arial;sans-serif"/>
                <w:b w:val="false"/>
                <w:color w:val="000000"/>
                <w:sz w:val="16"/>
              </w:rPr>
              <w:t>Ms. Davis has served as Performance Food Group’s Executive Vice President &amp; Chief Human Resources Officer since July 2019. Ms. Davis joined Performance Food Group after a 26-year career with Owens &amp; Minor, a global healthcare services company. For nearly 20 of those years, she served in senior leadership roles including Chief Administrative Officer, Corporate Chief of Staff, and Senior Vice President for Administration &amp; Operations and for Human Resources. Ms. Davis earned her undergraduate degree from the University of Richmond (VA) and holds a master’s in Public Administration from the University of North Carolina at Chapel Hill.</w:t>
            </w:r>
          </w:p>
          <w:p>
            <w:pPr>
              <w:pStyle w:val="TableContents"/>
              <w:bidi w:val="0"/>
              <w:spacing w:lineRule="auto" w:line="240" w:before="60" w:after="30"/>
              <w:jc w:val="left"/>
              <w:rPr>
                <w:color w:val="000000"/>
              </w:rPr>
            </w:pPr>
            <w:r>
              <w:rPr>
                <w:color w:val="000000"/>
              </w:rPr>
              <w:t> </w:t>
            </w:r>
          </w:p>
        </w:tc>
      </w:tr>
      <w:tr>
        <w:trPr/>
        <w:tc>
          <w:tcPr>
            <w:tcW w:w="3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259"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9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None</w:t>
            </w:r>
          </w:p>
        </w:tc>
        <w:tc>
          <w:tcPr>
            <w:tcW w:w="6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Committee</w:t>
            </w:r>
          </w:p>
        </w:tc>
      </w:tr>
    </w:tbl>
    <w:p>
      <w:pPr>
        <w:pStyle w:val="TextBody"/>
        <w:bidi w:val="0"/>
        <w:spacing w:before="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6840"/>
                <wp:effectExtent l="0" t="0" r="0" b="0"/>
                <wp:wrapNone/>
                <wp:docPr id="122"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109</w:t>
                      </w:r>
                    </w:p>
                  </w:txbxContent>
                </v:textbox>
                <w10:wrap type="none"/>
              </v:rect>
            </w:pict>
          </mc:Fallback>
        </mc:AlternateContent>
      </w:r>
    </w:p>
    <w:p>
      <w:pPr>
        <w:pStyle w:val="TextBody"/>
        <w:bidi w:val="0"/>
        <w:spacing w:before="0" w:after="60"/>
        <w:jc w:val="left"/>
        <w:rPr/>
      </w:pPr>
      <w:r>
        <w:rPr/>
      </w:r>
    </w:p>
    <w:tbl>
      <w:tblPr>
        <w:tblW w:w="10205" w:type="dxa"/>
        <w:jc w:val="center"/>
        <w:tblInd w:w="0" w:type="dxa"/>
        <w:tblLayout w:type="fixed"/>
        <w:tblCellMar>
          <w:top w:w="28" w:type="dxa"/>
          <w:left w:w="28" w:type="dxa"/>
          <w:bottom w:w="28" w:type="dxa"/>
          <w:right w:w="28" w:type="dxa"/>
        </w:tblCellMar>
      </w:tblPr>
      <w:tblGrid>
        <w:gridCol w:w="837"/>
        <w:gridCol w:w="737"/>
        <w:gridCol w:w="743"/>
        <w:gridCol w:w="429"/>
        <w:gridCol w:w="429"/>
        <w:gridCol w:w="430"/>
        <w:gridCol w:w="1026"/>
        <w:gridCol w:w="1026"/>
        <w:gridCol w:w="1026"/>
        <w:gridCol w:w="1026"/>
        <w:gridCol w:w="1026"/>
        <w:gridCol w:w="1470"/>
      </w:tblGrid>
      <w:tr>
        <w:trPr/>
        <w:tc>
          <w:tcPr>
            <w:tcW w:w="8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r>
      <w:tr>
        <w:trPr/>
        <w:tc>
          <w:tcPr>
            <w:tcW w:w="2317"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Gerard E. Holthaus</w:t>
            </w:r>
          </w:p>
        </w:tc>
        <w:tc>
          <w:tcPr>
            <w:tcW w:w="1288"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6"/>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7"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314450" cy="1314450"/>
                  <wp:effectExtent l="0" t="0" r="0" b="0"/>
                  <wp:docPr id="1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4" descr=""/>
                          <pic:cNvPicPr>
                            <a:picLocks noChangeAspect="1" noChangeArrowheads="1"/>
                          </pic:cNvPicPr>
                        </pic:nvPicPr>
                        <pic:blipFill>
                          <a:blip r:embed="rId15"/>
                          <a:stretch>
                            <a:fillRect/>
                          </a:stretch>
                        </pic:blipFill>
                        <pic:spPr bwMode="auto">
                          <a:xfrm>
                            <a:off x="0" y="0"/>
                            <a:ext cx="1314450" cy="1314450"/>
                          </a:xfrm>
                          <a:prstGeom prst="rect">
                            <a:avLst/>
                          </a:prstGeom>
                        </pic:spPr>
                      </pic:pic>
                    </a:graphicData>
                  </a:graphic>
                </wp:inline>
              </w:drawing>
            </w:r>
          </w:p>
        </w:tc>
        <w:tc>
          <w:tcPr>
            <w:tcW w:w="1288" w:type="dxa"/>
            <w:gridSpan w:val="3"/>
            <w:tcBorders/>
            <w:tcMar>
              <w:top w:w="0" w:type="dxa"/>
              <w:left w:w="0" w:type="dxa"/>
              <w:bottom w:w="0" w:type="dxa"/>
              <w:right w:w="0" w:type="dxa"/>
            </w:tcMar>
            <w:vAlign w:val="center"/>
          </w:tcPr>
          <w:p>
            <w:pPr>
              <w:pStyle w:val="TableContents"/>
              <w:bidi w:val="0"/>
              <w:spacing w:lineRule="auto" w:line="288"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88" w:before="60" w:after="60"/>
              <w:jc w:val="left"/>
              <w:rPr/>
            </w:pPr>
            <w:r>
              <w:rPr>
                <w:rFonts w:ascii="Arial;sans-serif" w:hAnsi="Arial;sans-serif"/>
                <w:b w:val="false"/>
                <w:color w:val="000000"/>
                <w:sz w:val="16"/>
              </w:rPr>
              <w:t xml:space="preserve">Director Since: </w:t>
            </w:r>
            <w:r>
              <w:rPr>
                <w:rFonts w:ascii="Arial;sans-serif" w:hAnsi="Arial;sans-serif"/>
                <w:b/>
                <w:color w:val="00205B"/>
                <w:sz w:val="16"/>
              </w:rPr>
              <w:t>2017</w:t>
            </w:r>
          </w:p>
          <w:p>
            <w:pPr>
              <w:pStyle w:val="TableContents"/>
              <w:bidi w:val="0"/>
              <w:spacing w:lineRule="auto" w:line="288" w:before="60" w:after="60"/>
              <w:jc w:val="left"/>
              <w:rPr/>
            </w:pPr>
            <w:r>
              <w:rPr>
                <w:rFonts w:ascii="Arial;sans-serif" w:hAnsi="Arial;sans-serif"/>
                <w:b w:val="false"/>
                <w:color w:val="000000"/>
                <w:sz w:val="16"/>
              </w:rPr>
              <w:t xml:space="preserve">Age: </w:t>
            </w:r>
            <w:r>
              <w:rPr>
                <w:rFonts w:ascii="Arial;sans-serif" w:hAnsi="Arial;sans-serif"/>
                <w:b/>
                <w:color w:val="00205B"/>
                <w:sz w:val="16"/>
              </w:rPr>
              <w:t>74</w:t>
            </w:r>
          </w:p>
        </w:tc>
        <w:tc>
          <w:tcPr>
            <w:tcW w:w="6600" w:type="dxa"/>
            <w:gridSpan w:val="6"/>
            <w:tcBorders/>
            <w:tcMar>
              <w:top w:w="0" w:type="dxa"/>
              <w:left w:w="0" w:type="dxa"/>
              <w:bottom w:w="0" w:type="dxa"/>
              <w:right w:w="0" w:type="dxa"/>
            </w:tcMar>
            <w:vAlign w:val="center"/>
          </w:tcPr>
          <w:p>
            <w:pPr>
              <w:pStyle w:val="TableContents"/>
              <w:bidi w:val="0"/>
              <w:spacing w:lineRule="auto" w:line="288"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88" w:before="60" w:after="60"/>
              <w:jc w:val="left"/>
              <w:rPr/>
            </w:pPr>
            <w:r>
              <w:rPr>
                <w:rFonts w:ascii="Arial;sans-serif" w:hAnsi="Arial;sans-serif"/>
                <w:b w:val="false"/>
                <w:color w:val="1D2758"/>
                <w:sz w:val="16"/>
              </w:rPr>
              <w:t xml:space="preserve">&amp; </w:t>
            </w:r>
            <w:r>
              <w:rPr>
                <w:rFonts w:ascii="Arial;sans-serif" w:hAnsi="Arial;sans-serif"/>
                <w:b w:val="false"/>
                <w:color w:val="000000"/>
                <w:sz w:val="16"/>
              </w:rPr>
              <w:t xml:space="preserve">Leadership     </w:t>
            </w:r>
            <w:r>
              <w:rPr>
                <w:rFonts w:ascii="Wingdings;sans-serif" w:hAnsi="Wingdings;sans-serif"/>
                <w:b/>
                <w:color w:val="1D2758"/>
                <w:sz w:val="16"/>
              </w:rPr>
              <w:t xml:space="preserve">O </w:t>
            </w:r>
            <w:r>
              <w:rPr>
                <w:rFonts w:ascii="Arial;sans-serif" w:hAnsi="Arial;sans-serif"/>
                <w:b w:val="false"/>
                <w:color w:val="000000"/>
                <w:sz w:val="16"/>
              </w:rPr>
              <w:t xml:space="preserve">Independence </w:t>
            </w:r>
            <w:r>
              <w:rPr>
                <w:rFonts w:ascii="Wingdings;sans-serif" w:hAnsi="Wingdings;sans-serif"/>
                <w:b/>
                <w:color w:val="1D2758"/>
                <w:sz w:val="16"/>
              </w:rPr>
              <w:t xml:space="preserve">8 </w:t>
            </w:r>
            <w:r>
              <w:rPr>
                <w:rFonts w:ascii="Arial;sans-serif" w:hAnsi="Arial;sans-serif"/>
                <w:b w:val="false"/>
                <w:color w:val="000000"/>
                <w:sz w:val="16"/>
              </w:rPr>
              <w:t>Finance</w:t>
            </w:r>
          </w:p>
          <w:p>
            <w:pPr>
              <w:pStyle w:val="TableContents"/>
              <w:bidi w:val="0"/>
              <w:spacing w:lineRule="auto" w:line="288" w:before="60" w:after="60"/>
              <w:jc w:val="left"/>
              <w:rPr/>
            </w:pPr>
            <w:r>
              <w:rPr>
                <w:rFonts w:ascii="Wingdings;sans-serif" w:hAnsi="Wingdings;sans-serif"/>
                <w:b w:val="false"/>
                <w:color w:val="1D2758"/>
                <w:sz w:val="16"/>
              </w:rPr>
              <w:t xml:space="preserve">6 </w:t>
            </w:r>
            <w:r>
              <w:rPr>
                <w:rFonts w:ascii="Arial;sans-serif" w:hAnsi="Arial;sans-serif"/>
                <w:b w:val="false"/>
                <w:color w:val="000000"/>
                <w:sz w:val="16"/>
              </w:rPr>
              <w:t xml:space="preserve">Strategy     </w:t>
            </w:r>
            <w:r>
              <w:rPr>
                <w:rFonts w:ascii="Wingdings;sans-serif" w:hAnsi="Wingdings;sans-serif"/>
                <w:b w:val="false"/>
                <w:color w:val="1D2758"/>
                <w:sz w:val="16"/>
              </w:rPr>
              <w:t xml:space="preserve">: </w:t>
            </w:r>
            <w:r>
              <w:rPr>
                <w:rFonts w:ascii="Arial;sans-serif" w:hAnsi="Arial;sans-serif"/>
                <w:b w:val="false"/>
                <w:color w:val="000000"/>
                <w:sz w:val="16"/>
              </w:rPr>
              <w:t xml:space="preserve">Public Company </w:t>
            </w:r>
            <w:r>
              <w:rPr>
                <w:rFonts w:ascii="Wingdings;sans-serif" w:hAnsi="Wingdings;sans-serif"/>
                <w:b/>
                <w:color w:val="1D2758"/>
                <w:sz w:val="16"/>
              </w:rPr>
              <w:t xml:space="preserve">% </w:t>
            </w:r>
            <w:r>
              <w:rPr>
                <w:rFonts w:ascii="Arial;sans-serif" w:hAnsi="Arial;sans-serif"/>
                <w:b w:val="false"/>
                <w:color w:val="000000"/>
                <w:sz w:val="16"/>
              </w:rPr>
              <w:t>Industry</w:t>
            </w:r>
          </w:p>
          <w:p>
            <w:pPr>
              <w:pStyle w:val="TableContents"/>
              <w:bidi w:val="0"/>
              <w:spacing w:lineRule="auto" w:line="288" w:before="60" w:after="30"/>
              <w:jc w:val="both"/>
              <w:rPr>
                <w:rFonts w:ascii="Arial;sans-serif" w:hAnsi="Arial;sans-serif"/>
                <w:b w:val="false"/>
                <w:color w:val="000000"/>
                <w:sz w:val="16"/>
              </w:rPr>
            </w:pPr>
            <w:r>
              <w:rPr>
                <w:rFonts w:ascii="Arial;sans-serif" w:hAnsi="Arial;sans-serif"/>
                <w:b w:val="false"/>
                <w:color w:val="000000"/>
                <w:sz w:val="16"/>
              </w:rPr>
              <w:t>The Board believes Mr. Holthaus’ executive leadership in our industry, including various CFO and CEO roles, risk and oversight, M&amp;A, accounting and finance, corporate governance expertise, experience as a director of public and private companies, and knowledge of our Company enable him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Mr. Holthaus serves as the Lead Independent Director of WillScot Mobile Mini. He served as Non-Executive Chairman of WillScot until the completion of the WillScot Mobile Mini merger and is the former Non-Executive Chairman of Algeco Scotsman Global S.á.r.l. Mr. Holthaus has served in various executive leadership positions, including CEO, CFO and/or Chairman of various companies in our industry. Mr. Holthaus is Non-Executive Chairman of the Board of FTI Consulting and the Baltimore Life Companies. Mr. Holthaus is a graduate of Loyola University Maryland.</w:t>
            </w:r>
          </w:p>
        </w:tc>
      </w:tr>
      <w:tr>
        <w:trPr/>
        <w:tc>
          <w:tcPr>
            <w:tcW w:w="3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600"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605" w:type="dxa"/>
            <w:gridSpan w:val="6"/>
            <w:tcBorders/>
            <w:tcMar>
              <w:top w:w="0" w:type="dxa"/>
              <w:left w:w="0" w:type="dxa"/>
              <w:bottom w:w="0" w:type="dxa"/>
              <w:right w:w="0" w:type="dxa"/>
            </w:tcMar>
            <w:vAlign w:val="center"/>
          </w:tcPr>
          <w:p>
            <w:pPr>
              <w:pStyle w:val="TableContents"/>
              <w:bidi w:val="0"/>
              <w:spacing w:lineRule="auto" w:line="240" w:before="53" w:after="60"/>
              <w:jc w:val="left"/>
              <w:rPr>
                <w:color w:val="000000"/>
              </w:rPr>
            </w:pPr>
            <w:r>
              <w:rPr>
                <w:color w:val="000000"/>
              </w:rPr>
              <w:t xml:space="preserve">• </w:t>
            </w:r>
            <w:r>
              <w:rPr>
                <w:rFonts w:ascii="Arial;sans-serif" w:hAnsi="Arial;sans-serif"/>
                <w:b w:val="false"/>
                <w:color w:val="000000"/>
                <w:sz w:val="16"/>
              </w:rPr>
              <w:t>FTI Consulting, Inc.</w:t>
            </w:r>
          </w:p>
          <w:p>
            <w:pPr>
              <w:pStyle w:val="TableContents"/>
              <w:bidi w:val="0"/>
              <w:spacing w:lineRule="auto" w:line="240" w:before="60" w:after="30"/>
              <w:jc w:val="left"/>
              <w:rPr>
                <w:color w:val="000000"/>
              </w:rPr>
            </w:pPr>
            <w:r>
              <w:rPr>
                <w:color w:val="000000"/>
              </w:rPr>
              <w:t xml:space="preserve">• </w:t>
            </w:r>
            <w:r>
              <w:rPr>
                <w:rFonts w:ascii="Arial;sans-serif" w:hAnsi="Arial;sans-serif"/>
                <w:b w:val="false"/>
                <w:color w:val="000000"/>
                <w:sz w:val="16"/>
              </w:rPr>
              <w:t>NESCO Holdings (former)</w:t>
            </w:r>
          </w:p>
        </w:tc>
        <w:tc>
          <w:tcPr>
            <w:tcW w:w="6600" w:type="dxa"/>
            <w:gridSpan w:val="6"/>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val="false"/>
                <w:color w:val="000000"/>
                <w:sz w:val="16"/>
              </w:rPr>
            </w:pPr>
            <w:r>
              <w:rPr>
                <w:rFonts w:ascii="Arial;sans-serif" w:hAnsi="Arial;sans-serif"/>
                <w:b w:val="false"/>
                <w:color w:val="000000"/>
                <w:sz w:val="16"/>
              </w:rPr>
              <w:t>Nominating &amp; Corporate Governance Committee - Chair</w:t>
            </w:r>
          </w:p>
          <w:p>
            <w:pPr>
              <w:pStyle w:val="TableContents"/>
              <w:bidi w:val="0"/>
              <w:spacing w:lineRule="auto" w:line="240" w:before="60" w:after="30"/>
              <w:jc w:val="left"/>
              <w:rPr>
                <w:rFonts w:ascii="Arial;sans-serif" w:hAnsi="Arial;sans-serif"/>
                <w:b w:val="false"/>
                <w:color w:val="000000"/>
                <w:sz w:val="16"/>
              </w:rPr>
            </w:pPr>
            <w:r>
              <w:rPr>
                <w:rFonts w:ascii="Arial;sans-serif" w:hAnsi="Arial;sans-serif"/>
                <w:b w:val="false"/>
                <w:color w:val="000000"/>
                <w:sz w:val="16"/>
              </w:rPr>
              <w:t>Audit Committee</w:t>
            </w:r>
          </w:p>
        </w:tc>
      </w:tr>
    </w:tbl>
    <w:p>
      <w:pPr>
        <w:pStyle w:val="TextBody"/>
        <w:bidi w:val="0"/>
        <w:spacing w:before="0" w:after="240"/>
        <w:jc w:val="center"/>
        <w:rPr/>
      </w:pPr>
      <w:r>
        <w:rPr/>
      </w:r>
    </w:p>
    <w:tbl>
      <w:tblPr>
        <w:tblW w:w="10205" w:type="dxa"/>
        <w:jc w:val="center"/>
        <w:tblInd w:w="0" w:type="dxa"/>
        <w:tblLayout w:type="fixed"/>
        <w:tblCellMar>
          <w:top w:w="28" w:type="dxa"/>
          <w:left w:w="28" w:type="dxa"/>
          <w:bottom w:w="28" w:type="dxa"/>
          <w:right w:w="28" w:type="dxa"/>
        </w:tblCellMar>
      </w:tblPr>
      <w:tblGrid>
        <w:gridCol w:w="887"/>
        <w:gridCol w:w="780"/>
        <w:gridCol w:w="785"/>
        <w:gridCol w:w="466"/>
        <w:gridCol w:w="466"/>
        <w:gridCol w:w="467"/>
        <w:gridCol w:w="987"/>
        <w:gridCol w:w="987"/>
        <w:gridCol w:w="987"/>
        <w:gridCol w:w="987"/>
        <w:gridCol w:w="987"/>
        <w:gridCol w:w="1419"/>
      </w:tblGrid>
      <w:tr>
        <w:trPr/>
        <w:tc>
          <w:tcPr>
            <w:tcW w:w="88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Natalia Johnson</w:t>
            </w:r>
          </w:p>
        </w:tc>
        <w:tc>
          <w:tcPr>
            <w:tcW w:w="1399"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314450" cy="1314450"/>
                  <wp:effectExtent l="0" t="0" r="0" b="0"/>
                  <wp:docPr id="1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5" descr=""/>
                          <pic:cNvPicPr>
                            <a:picLocks noChangeAspect="1" noChangeArrowheads="1"/>
                          </pic:cNvPicPr>
                        </pic:nvPicPr>
                        <pic:blipFill>
                          <a:blip r:embed="rId16"/>
                          <a:stretch>
                            <a:fillRect/>
                          </a:stretch>
                        </pic:blipFill>
                        <pic:spPr bwMode="auto">
                          <a:xfrm>
                            <a:off x="0" y="0"/>
                            <a:ext cx="1314450" cy="1314450"/>
                          </a:xfrm>
                          <a:prstGeom prst="rect">
                            <a:avLst/>
                          </a:prstGeom>
                        </pic:spPr>
                      </pic:pic>
                    </a:graphicData>
                  </a:graphic>
                </wp:inline>
              </w:drawing>
            </w:r>
          </w:p>
        </w:tc>
        <w:tc>
          <w:tcPr>
            <w:tcW w:w="1399" w:type="dxa"/>
            <w:gridSpan w:val="3"/>
            <w:tcBorders/>
            <w:tcMar>
              <w:top w:w="0" w:type="dxa"/>
              <w:left w:w="0" w:type="dxa"/>
              <w:bottom w:w="0" w:type="dxa"/>
              <w:right w:w="0" w:type="dxa"/>
            </w:tcMar>
            <w:vAlign w:val="center"/>
          </w:tcPr>
          <w:p>
            <w:pPr>
              <w:pStyle w:val="TableContents"/>
              <w:bidi w:val="0"/>
              <w:spacing w:lineRule="auto" w:line="288"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88" w:before="60" w:after="60"/>
              <w:jc w:val="left"/>
              <w:rPr/>
            </w:pPr>
            <w:r>
              <w:rPr>
                <w:rFonts w:ascii="Arial;sans-serif" w:hAnsi="Arial;sans-serif"/>
                <w:b w:val="false"/>
                <w:color w:val="000000"/>
                <w:sz w:val="16"/>
              </w:rPr>
              <w:t>Director Since:    </w:t>
            </w:r>
            <w:r>
              <w:rPr>
                <w:rFonts w:ascii="Arial;sans-serif" w:hAnsi="Arial;sans-serif"/>
                <w:b/>
                <w:color w:val="00205B"/>
                <w:sz w:val="16"/>
              </w:rPr>
              <w:t>2023</w:t>
            </w:r>
          </w:p>
          <w:p>
            <w:pPr>
              <w:pStyle w:val="TableContents"/>
              <w:bidi w:val="0"/>
              <w:spacing w:lineRule="auto" w:line="288" w:before="60" w:after="60"/>
              <w:jc w:val="left"/>
              <w:rPr/>
            </w:pPr>
            <w:r>
              <w:rPr>
                <w:rFonts w:ascii="Arial;sans-serif" w:hAnsi="Arial;sans-serif"/>
                <w:b w:val="false"/>
                <w:color w:val="000000"/>
                <w:sz w:val="16"/>
              </w:rPr>
              <w:t xml:space="preserve">Age: </w:t>
            </w:r>
            <w:r>
              <w:rPr>
                <w:rFonts w:ascii="Arial;sans-serif" w:hAnsi="Arial;sans-serif"/>
                <w:b/>
                <w:color w:val="00205B"/>
                <w:sz w:val="16"/>
              </w:rPr>
              <w:t>46</w:t>
            </w:r>
          </w:p>
        </w:tc>
        <w:tc>
          <w:tcPr>
            <w:tcW w:w="6354" w:type="dxa"/>
            <w:gridSpan w:val="6"/>
            <w:tcBorders/>
            <w:tcMar>
              <w:top w:w="0" w:type="dxa"/>
              <w:left w:w="0" w:type="dxa"/>
              <w:bottom w:w="0" w:type="dxa"/>
              <w:right w:w="0" w:type="dxa"/>
            </w:tcMar>
            <w:vAlign w:val="center"/>
          </w:tcPr>
          <w:p>
            <w:pPr>
              <w:pStyle w:val="TableContents"/>
              <w:bidi w:val="0"/>
              <w:spacing w:lineRule="auto" w:line="288"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88" w:before="60" w:after="60"/>
              <w:jc w:val="left"/>
              <w:rPr/>
            </w:pPr>
            <w:r>
              <w:rPr>
                <w:rFonts w:ascii="Arial;sans-serif" w:hAnsi="Arial;sans-serif"/>
                <w:b w:val="false"/>
                <w:color w:val="1D2758"/>
                <w:sz w:val="18"/>
              </w:rPr>
              <w:t xml:space="preserve">&amp; </w:t>
            </w:r>
            <w:r>
              <w:rPr>
                <w:rFonts w:ascii="Arial;sans-serif" w:hAnsi="Arial;sans-serif"/>
                <w:b w:val="false"/>
                <w:color w:val="000000"/>
                <w:sz w:val="16"/>
              </w:rPr>
              <w:t xml:space="preserve">Leadership </w:t>
            </w:r>
            <w:r>
              <w:rPr>
                <w:rFonts w:ascii="Wingdings;sans-serif" w:hAnsi="Wingdings;sans-serif"/>
                <w:b/>
                <w:color w:val="1D2758"/>
                <w:sz w:val="18"/>
              </w:rPr>
              <w:t xml:space="preserve">O </w:t>
            </w:r>
            <w:r>
              <w:rPr>
                <w:rFonts w:ascii="Arial;sans-serif" w:hAnsi="Arial;sans-serif"/>
                <w:b w:val="false"/>
                <w:color w:val="000000"/>
                <w:sz w:val="16"/>
              </w:rPr>
              <w:t>Independence    </w:t>
            </w:r>
            <w:r>
              <w:rPr>
                <w:rFonts w:ascii="Wingdings;sans-serif" w:hAnsi="Wingdings;sans-serif"/>
                <w:b/>
                <w:color w:val="1D2758"/>
                <w:sz w:val="18"/>
              </w:rPr>
              <w:t xml:space="preserve">% </w:t>
            </w:r>
            <w:r>
              <w:rPr>
                <w:rFonts w:ascii="Arial;sans-serif" w:hAnsi="Arial;sans-serif"/>
                <w:b w:val="false"/>
                <w:color w:val="000000"/>
                <w:sz w:val="16"/>
              </w:rPr>
              <w:t>Industry</w:t>
            </w:r>
          </w:p>
          <w:p>
            <w:pPr>
              <w:pStyle w:val="TableContents"/>
              <w:bidi w:val="0"/>
              <w:spacing w:lineRule="auto" w:line="288" w:before="60" w:after="60"/>
              <w:jc w:val="left"/>
              <w:rPr/>
            </w:pPr>
            <w:r>
              <w:rPr>
                <w:rFonts w:ascii="Wingdings;sans-serif" w:hAnsi="Wingdings;sans-serif"/>
                <w:b w:val="false"/>
                <w:color w:val="1D2758"/>
                <w:sz w:val="18"/>
              </w:rPr>
              <w:t xml:space="preserve">6 </w:t>
            </w:r>
            <w:r>
              <w:rPr>
                <w:rFonts w:ascii="Arial;sans-serif" w:hAnsi="Arial;sans-serif"/>
                <w:b w:val="false"/>
                <w:color w:val="000000"/>
                <w:sz w:val="16"/>
              </w:rPr>
              <w:t xml:space="preserve">Strategy     </w:t>
            </w:r>
          </w:p>
          <w:p>
            <w:pPr>
              <w:pStyle w:val="TableContents"/>
              <w:bidi w:val="0"/>
              <w:spacing w:lineRule="auto" w:line="288" w:before="60" w:after="30"/>
              <w:jc w:val="both"/>
              <w:rPr>
                <w:rFonts w:ascii="Arial;sans-serif" w:hAnsi="Arial;sans-serif"/>
                <w:b w:val="false"/>
                <w:color w:val="000000"/>
                <w:sz w:val="16"/>
              </w:rPr>
            </w:pPr>
            <w:r>
              <w:rPr>
                <w:rFonts w:ascii="Arial;sans-serif" w:hAnsi="Arial;sans-serif"/>
                <w:b w:val="false"/>
                <w:color w:val="000000"/>
                <w:sz w:val="16"/>
              </w:rPr>
              <w:t>The Board believes that Ms. Johnson’s leadership experience at large publicly-traded companies in the areas of digital and technological transformation, human capital, data science, risk management and operational strategy enables her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Ms. Johnson joined the Board in August 2023 following a vacancy created by the Board’s decision to expand the Board from eight (8) to nine (9) directors. Ms. Johnson has served as Chief Administrative Officer of Public Storage since August 2020, having previously served as Chief Human Resources Officer from July 2016 to August 2020. Prior to joining Public Storage, Ms. Johnson spent 13 years in several leadership roles at Bank of America, most recently as SVP, Chief Operating Officer - Mortgage Technology. Earlier in her career, she held various management roles for Coca-Cola and San Cristóbal Insurance in her home country of Argentina. She holds a bachelor’s in Business Administration from Universidad Católica De Córdoba, Argentina.</w:t>
            </w:r>
          </w:p>
        </w:tc>
      </w:tr>
      <w:tr>
        <w:trPr/>
        <w:tc>
          <w:tcPr>
            <w:tcW w:w="38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354"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851" w:type="dxa"/>
            <w:gridSpan w:val="6"/>
            <w:tcBorders/>
            <w:tcMar>
              <w:top w:w="0" w:type="dxa"/>
              <w:left w:w="0" w:type="dxa"/>
              <w:bottom w:w="0" w:type="dxa"/>
              <w:right w:w="0" w:type="dxa"/>
            </w:tcMar>
            <w:vAlign w:val="center"/>
          </w:tcPr>
          <w:p>
            <w:pPr>
              <w:pStyle w:val="TableContents"/>
              <w:bidi w:val="0"/>
              <w:spacing w:lineRule="auto" w:line="240" w:before="60" w:after="30"/>
              <w:jc w:val="left"/>
              <w:rPr>
                <w:rFonts w:ascii="Arial;sans-serif" w:hAnsi="Arial;sans-serif"/>
                <w:b w:val="false"/>
                <w:i/>
                <w:color w:val="000000"/>
                <w:sz w:val="16"/>
              </w:rPr>
            </w:pPr>
            <w:r>
              <w:rPr>
                <w:rFonts w:ascii="Arial;sans-serif" w:hAnsi="Arial;sans-serif"/>
                <w:b w:val="false"/>
                <w:i/>
                <w:color w:val="000000"/>
                <w:sz w:val="16"/>
              </w:rPr>
              <w:t>None</w:t>
            </w:r>
          </w:p>
        </w:tc>
        <w:tc>
          <w:tcPr>
            <w:tcW w:w="6354" w:type="dxa"/>
            <w:gridSpan w:val="6"/>
            <w:tcBorders/>
            <w:tcMar>
              <w:top w:w="0" w:type="dxa"/>
              <w:left w:w="0" w:type="dxa"/>
              <w:bottom w:w="0" w:type="dxa"/>
              <w:right w:w="0" w:type="dxa"/>
            </w:tcMar>
            <w:vAlign w:val="center"/>
          </w:tcPr>
          <w:p>
            <w:pPr>
              <w:pStyle w:val="TableContents"/>
              <w:bidi w:val="0"/>
              <w:spacing w:lineRule="auto" w:line="288" w:before="53" w:after="60"/>
              <w:jc w:val="left"/>
              <w:rPr>
                <w:rFonts w:ascii="Arial;sans-serif" w:hAnsi="Arial;sans-serif"/>
                <w:b w:val="false"/>
                <w:color w:val="000000"/>
                <w:sz w:val="16"/>
              </w:rPr>
            </w:pPr>
            <w:r>
              <w:rPr>
                <w:rFonts w:ascii="Arial;sans-serif" w:hAnsi="Arial;sans-serif"/>
                <w:b w:val="false"/>
                <w:color w:val="000000"/>
                <w:sz w:val="16"/>
              </w:rPr>
              <w:t>Audit Committee</w:t>
            </w:r>
          </w:p>
          <w:p>
            <w:pPr>
              <w:pStyle w:val="TableContents"/>
              <w:bidi w:val="0"/>
              <w:spacing w:lineRule="auto" w:line="288" w:before="60" w:after="30"/>
              <w:jc w:val="left"/>
              <w:rPr>
                <w:rFonts w:ascii="Arial;sans-serif" w:hAnsi="Arial;sans-serif"/>
                <w:b w:val="false"/>
                <w:color w:val="000000"/>
                <w:sz w:val="16"/>
              </w:rPr>
            </w:pPr>
            <w:r>
              <w:rPr>
                <w:rFonts w:ascii="Arial;sans-serif" w:hAnsi="Arial;sans-serif"/>
                <w:b w:val="false"/>
                <w:color w:val="000000"/>
                <w:sz w:val="16"/>
              </w:rPr>
              <w:t>Compensation Committee</w:t>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6840"/>
                <wp:effectExtent l="0" t="0" r="0" b="0"/>
                <wp:wrapNone/>
                <wp:docPr id="125"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110</w:t>
                      </w:r>
                    </w:p>
                  </w:txbxContent>
                </v:textbox>
                <w10:wrap type="none"/>
              </v:rect>
            </w:pict>
          </mc:Fallback>
        </mc:AlternateContent>
      </w:r>
    </w:p>
    <w:p>
      <w:pPr>
        <w:pStyle w:val="TextBody"/>
        <w:bidi w:val="0"/>
        <w:spacing w:before="0" w:after="60"/>
        <w:jc w:val="left"/>
        <w:rPr/>
      </w:pPr>
      <w:r>
        <w:rPr/>
      </w:r>
    </w:p>
    <w:tbl>
      <w:tblPr>
        <w:tblW w:w="10205" w:type="dxa"/>
        <w:jc w:val="center"/>
        <w:tblInd w:w="0" w:type="dxa"/>
        <w:tblLayout w:type="fixed"/>
        <w:tblCellMar>
          <w:top w:w="28" w:type="dxa"/>
          <w:left w:w="28" w:type="dxa"/>
          <w:bottom w:w="28" w:type="dxa"/>
          <w:right w:w="28" w:type="dxa"/>
        </w:tblCellMar>
      </w:tblPr>
      <w:tblGrid>
        <w:gridCol w:w="780"/>
        <w:gridCol w:w="686"/>
        <w:gridCol w:w="691"/>
        <w:gridCol w:w="441"/>
        <w:gridCol w:w="441"/>
        <w:gridCol w:w="442"/>
        <w:gridCol w:w="1044"/>
        <w:gridCol w:w="1044"/>
        <w:gridCol w:w="1044"/>
        <w:gridCol w:w="1044"/>
        <w:gridCol w:w="1044"/>
        <w:gridCol w:w="1504"/>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Erik Olsson</w:t>
            </w:r>
          </w:p>
        </w:tc>
        <w:tc>
          <w:tcPr>
            <w:tcW w:w="1324"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209675" cy="1209675"/>
                  <wp:effectExtent l="0" t="0" r="0" b="0"/>
                  <wp:docPr id="1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6" descr=""/>
                          <pic:cNvPicPr>
                            <a:picLocks noChangeAspect="1" noChangeArrowheads="1"/>
                          </pic:cNvPicPr>
                        </pic:nvPicPr>
                        <pic:blipFill>
                          <a:blip r:embed="rId17"/>
                          <a:stretch>
                            <a:fillRect/>
                          </a:stretch>
                        </pic:blipFill>
                        <pic:spPr bwMode="auto">
                          <a:xfrm>
                            <a:off x="0" y="0"/>
                            <a:ext cx="1209675" cy="1209675"/>
                          </a:xfrm>
                          <a:prstGeom prst="rect">
                            <a:avLst/>
                          </a:prstGeom>
                        </pic:spPr>
                      </pic:pic>
                    </a:graphicData>
                  </a:graphic>
                </wp:inline>
              </w:drawing>
            </w:r>
          </w:p>
        </w:tc>
        <w:tc>
          <w:tcPr>
            <w:tcW w:w="1324" w:type="dxa"/>
            <w:gridSpan w:val="3"/>
            <w:tcBorders/>
            <w:tcMar>
              <w:top w:w="0" w:type="dxa"/>
              <w:left w:w="0" w:type="dxa"/>
              <w:bottom w:w="0" w:type="dxa"/>
              <w:right w:w="0" w:type="dxa"/>
            </w:tcMar>
            <w:vAlign w:val="center"/>
          </w:tcPr>
          <w:p>
            <w:pPr>
              <w:pStyle w:val="TableContents"/>
              <w:bidi w:val="0"/>
              <w:spacing w:lineRule="auto" w:line="288"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88" w:before="60" w:after="60"/>
              <w:jc w:val="left"/>
              <w:rPr/>
            </w:pPr>
            <w:r>
              <w:rPr>
                <w:rFonts w:ascii="Arial;sans-serif" w:hAnsi="Arial;sans-serif"/>
                <w:b w:val="false"/>
                <w:color w:val="000000"/>
                <w:sz w:val="16"/>
              </w:rPr>
              <w:t>Director Since:    </w:t>
            </w:r>
            <w:r>
              <w:rPr>
                <w:rFonts w:ascii="Arial;sans-serif" w:hAnsi="Arial;sans-serif"/>
                <w:b/>
                <w:color w:val="00205B"/>
                <w:sz w:val="16"/>
              </w:rPr>
              <w:t>2020</w:t>
            </w:r>
          </w:p>
          <w:p>
            <w:pPr>
              <w:pStyle w:val="TableContents"/>
              <w:bidi w:val="0"/>
              <w:spacing w:lineRule="auto" w:line="288" w:before="60" w:after="60"/>
              <w:jc w:val="left"/>
              <w:rPr/>
            </w:pPr>
            <w:r>
              <w:rPr>
                <w:rFonts w:ascii="Arial;sans-serif" w:hAnsi="Arial;sans-serif"/>
                <w:b w:val="false"/>
                <w:color w:val="000000"/>
                <w:sz w:val="16"/>
              </w:rPr>
              <w:t xml:space="preserve">Age: </w:t>
            </w:r>
            <w:r>
              <w:rPr>
                <w:rFonts w:ascii="Arial;sans-serif" w:hAnsi="Arial;sans-serif"/>
                <w:b/>
                <w:color w:val="00205B"/>
                <w:sz w:val="16"/>
              </w:rPr>
              <w:t>61</w:t>
            </w:r>
          </w:p>
        </w:tc>
        <w:tc>
          <w:tcPr>
            <w:tcW w:w="6724" w:type="dxa"/>
            <w:gridSpan w:val="6"/>
            <w:tcBorders/>
            <w:tcMar>
              <w:top w:w="0" w:type="dxa"/>
              <w:left w:w="0" w:type="dxa"/>
              <w:bottom w:w="0" w:type="dxa"/>
              <w:right w:w="0" w:type="dxa"/>
            </w:tcMar>
            <w:vAlign w:val="center"/>
          </w:tcPr>
          <w:p>
            <w:pPr>
              <w:pStyle w:val="TableContents"/>
              <w:bidi w:val="0"/>
              <w:spacing w:lineRule="auto" w:line="288"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88" w:before="60" w:after="60"/>
              <w:jc w:val="left"/>
              <w:rPr/>
            </w:pPr>
            <w:r>
              <w:rPr>
                <w:rFonts w:ascii="Arial;sans-serif" w:hAnsi="Arial;sans-serif"/>
                <w:b w:val="false"/>
                <w:color w:val="1D2758"/>
                <w:sz w:val="18"/>
              </w:rPr>
              <w:t xml:space="preserve">&amp; </w:t>
            </w:r>
            <w:r>
              <w:rPr>
                <w:rFonts w:ascii="Arial;sans-serif" w:hAnsi="Arial;sans-serif"/>
                <w:b w:val="false"/>
                <w:color w:val="000000"/>
                <w:sz w:val="16"/>
              </w:rPr>
              <w:t xml:space="preserve">Leadership </w:t>
            </w:r>
            <w:r>
              <w:rPr>
                <w:rFonts w:ascii="Wingdings;sans-serif" w:hAnsi="Wingdings;sans-serif"/>
                <w:b/>
                <w:color w:val="1D2758"/>
                <w:sz w:val="18"/>
              </w:rPr>
              <w:t xml:space="preserve">O </w:t>
            </w:r>
            <w:r>
              <w:rPr>
                <w:rFonts w:ascii="Arial;sans-serif" w:hAnsi="Arial;sans-serif"/>
                <w:b w:val="false"/>
                <w:color w:val="000000"/>
                <w:sz w:val="16"/>
              </w:rPr>
              <w:t>Independence    </w:t>
            </w:r>
            <w:r>
              <w:rPr>
                <w:rFonts w:ascii="Wingdings;sans-serif" w:hAnsi="Wingdings;sans-serif"/>
                <w:b/>
                <w:color w:val="1D2758"/>
                <w:sz w:val="18"/>
              </w:rPr>
              <w:t xml:space="preserve">8 </w:t>
            </w:r>
            <w:r>
              <w:rPr>
                <w:rFonts w:ascii="Arial;sans-serif" w:hAnsi="Arial;sans-serif"/>
                <w:b w:val="false"/>
                <w:color w:val="000000"/>
                <w:sz w:val="16"/>
              </w:rPr>
              <w:t>Finance</w:t>
            </w:r>
          </w:p>
          <w:p>
            <w:pPr>
              <w:pStyle w:val="TableContents"/>
              <w:bidi w:val="0"/>
              <w:spacing w:lineRule="auto" w:line="288" w:before="60" w:after="60"/>
              <w:jc w:val="left"/>
              <w:rPr/>
            </w:pPr>
            <w:r>
              <w:rPr>
                <w:rFonts w:ascii="Wingdings;sans-serif" w:hAnsi="Wingdings;sans-serif"/>
                <w:b w:val="false"/>
                <w:color w:val="1D2758"/>
                <w:sz w:val="18"/>
              </w:rPr>
              <w:t xml:space="preserve">6 </w:t>
            </w:r>
            <w:r>
              <w:rPr>
                <w:rFonts w:ascii="Arial;sans-serif" w:hAnsi="Arial;sans-serif"/>
                <w:b w:val="false"/>
                <w:color w:val="000000"/>
                <w:sz w:val="16"/>
              </w:rPr>
              <w:t xml:space="preserve">Strategy     </w:t>
            </w:r>
            <w:r>
              <w:rPr>
                <w:rFonts w:ascii="Wingdings;sans-serif" w:hAnsi="Wingdings;sans-serif"/>
                <w:b w:val="false"/>
                <w:color w:val="1D2758"/>
                <w:sz w:val="18"/>
              </w:rPr>
              <w:t xml:space="preserve">: </w:t>
            </w:r>
            <w:r>
              <w:rPr>
                <w:rFonts w:ascii="Arial;sans-serif" w:hAnsi="Arial;sans-serif"/>
                <w:b w:val="false"/>
                <w:color w:val="000000"/>
                <w:sz w:val="16"/>
              </w:rPr>
              <w:t>Public Company    </w:t>
            </w:r>
            <w:r>
              <w:rPr>
                <w:rFonts w:ascii="Wingdings;sans-serif" w:hAnsi="Wingdings;sans-serif"/>
                <w:b/>
                <w:color w:val="1D2758"/>
                <w:sz w:val="18"/>
              </w:rPr>
              <w:t xml:space="preserve">% </w:t>
            </w:r>
            <w:r>
              <w:rPr>
                <w:rFonts w:ascii="Arial;sans-serif" w:hAnsi="Arial;sans-serif"/>
                <w:b w:val="false"/>
                <w:color w:val="000000"/>
                <w:sz w:val="16"/>
              </w:rPr>
              <w:t>Industry</w:t>
            </w:r>
          </w:p>
          <w:p>
            <w:pPr>
              <w:pStyle w:val="TableContents"/>
              <w:bidi w:val="0"/>
              <w:spacing w:lineRule="auto" w:line="288" w:before="60" w:after="30"/>
              <w:jc w:val="both"/>
              <w:rPr>
                <w:rFonts w:ascii="Arial;sans-serif" w:hAnsi="Arial;sans-serif"/>
                <w:b w:val="false"/>
                <w:color w:val="000000"/>
                <w:sz w:val="16"/>
              </w:rPr>
            </w:pPr>
            <w:r>
              <w:rPr>
                <w:rFonts w:ascii="Arial;sans-serif" w:hAnsi="Arial;sans-serif"/>
                <w:b w:val="false"/>
                <w:color w:val="000000"/>
                <w:sz w:val="16"/>
              </w:rPr>
              <w:t>The Board believes Mr. Olsson’s extensive experience in our industry and adjacent businesses, global perspective, financial expertise, his leadership in M&amp;A and related integration, forward-looking technology enablement, as well as his experience as a director and/or Chair of public companies, enable him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Mr. Olsson became Mobile Mini’s Non-Executive Chairman of the Board on October 1, 2019, and has continued in this capacity for WillScot Mobile Mini since the completion of the WillScot Mobile Mini merger. Mr. Olsson previously served as CEO of Mobile Mini and as CFO, COO and CEO of RSC Equipment Rentals until its merger with United Rentals, Inc. He is Chairman of the board of Ritchie Brothers Auctioneers Incorporated and a member of the board of Dometic Group AB. Mr. Olsson also serves on the board of directors of St. Mary’s Foodbank Alliance. Mr. Olsson is a graduate of the University of Gothenburg, Sweden.</w:t>
            </w:r>
          </w:p>
        </w:tc>
      </w:tr>
      <w:tr>
        <w:trPr/>
        <w:tc>
          <w:tcPr>
            <w:tcW w:w="34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724"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481" w:type="dxa"/>
            <w:gridSpan w:val="6"/>
            <w:tcBorders/>
            <w:tcMar>
              <w:top w:w="0" w:type="dxa"/>
              <w:left w:w="0" w:type="dxa"/>
              <w:bottom w:w="0" w:type="dxa"/>
              <w:right w:w="0" w:type="dxa"/>
            </w:tcMar>
            <w:vAlign w:val="center"/>
          </w:tcPr>
          <w:p>
            <w:pPr>
              <w:pStyle w:val="TableContents"/>
              <w:bidi w:val="0"/>
              <w:spacing w:lineRule="auto" w:line="240" w:before="53" w:after="60"/>
              <w:jc w:val="left"/>
              <w:rPr>
                <w:color w:val="000000"/>
              </w:rPr>
            </w:pPr>
            <w:r>
              <w:rPr>
                <w:color w:val="000000"/>
              </w:rPr>
              <w:t xml:space="preserve">• </w:t>
            </w:r>
            <w:r>
              <w:rPr>
                <w:rFonts w:ascii="Arial;sans-serif" w:hAnsi="Arial;sans-serif"/>
                <w:b w:val="false"/>
                <w:color w:val="000000"/>
                <w:sz w:val="16"/>
              </w:rPr>
              <w:t>Dometic Group AB</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RB Global, Inc.</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Mobile Mini (until merger)</w:t>
            </w:r>
          </w:p>
          <w:p>
            <w:pPr>
              <w:pStyle w:val="TableContents"/>
              <w:bidi w:val="0"/>
              <w:spacing w:lineRule="auto" w:line="240" w:before="60" w:after="30"/>
              <w:jc w:val="left"/>
              <w:rPr>
                <w:color w:val="000000"/>
              </w:rPr>
            </w:pPr>
            <w:r>
              <w:rPr>
                <w:color w:val="000000"/>
              </w:rPr>
              <w:t xml:space="preserve">• </w:t>
            </w:r>
            <w:r>
              <w:rPr>
                <w:rFonts w:ascii="Arial;sans-serif" w:hAnsi="Arial;sans-serif"/>
                <w:b w:val="false"/>
                <w:color w:val="000000"/>
                <w:sz w:val="16"/>
              </w:rPr>
              <w:t>Pontem Corporation (former)</w:t>
            </w:r>
          </w:p>
        </w:tc>
        <w:tc>
          <w:tcPr>
            <w:tcW w:w="67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tbl>
      <w:tblPr>
        <w:tblW w:w="10205" w:type="dxa"/>
        <w:jc w:val="center"/>
        <w:tblInd w:w="0" w:type="dxa"/>
        <w:tblLayout w:type="fixed"/>
        <w:tblCellMar>
          <w:top w:w="28" w:type="dxa"/>
          <w:left w:w="28" w:type="dxa"/>
          <w:bottom w:w="28" w:type="dxa"/>
          <w:right w:w="28" w:type="dxa"/>
        </w:tblCellMar>
      </w:tblPr>
      <w:tblGrid>
        <w:gridCol w:w="871"/>
        <w:gridCol w:w="766"/>
        <w:gridCol w:w="774"/>
        <w:gridCol w:w="475"/>
        <w:gridCol w:w="475"/>
        <w:gridCol w:w="476"/>
        <w:gridCol w:w="989"/>
        <w:gridCol w:w="989"/>
        <w:gridCol w:w="989"/>
        <w:gridCol w:w="989"/>
        <w:gridCol w:w="989"/>
        <w:gridCol w:w="1423"/>
      </w:tblGrid>
      <w:tr>
        <w:trPr/>
        <w:tc>
          <w:tcPr>
            <w:tcW w:w="87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411"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Rebecca L. Owen</w:t>
            </w:r>
          </w:p>
        </w:tc>
        <w:tc>
          <w:tcPr>
            <w:tcW w:w="1426"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1"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257300" cy="1257300"/>
                  <wp:effectExtent l="0" t="0" r="0" b="0"/>
                  <wp:docPr id="12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7" descr=""/>
                          <pic:cNvPicPr>
                            <a:picLocks noChangeAspect="1" noChangeArrowheads="1"/>
                          </pic:cNvPicPr>
                        </pic:nvPicPr>
                        <pic:blipFill>
                          <a:blip r:embed="rId18"/>
                          <a:stretch>
                            <a:fillRect/>
                          </a:stretch>
                        </pic:blipFill>
                        <pic:spPr bwMode="auto">
                          <a:xfrm>
                            <a:off x="0" y="0"/>
                            <a:ext cx="1257300" cy="1257300"/>
                          </a:xfrm>
                          <a:prstGeom prst="rect">
                            <a:avLst/>
                          </a:prstGeom>
                        </pic:spPr>
                      </pic:pic>
                    </a:graphicData>
                  </a:graphic>
                </wp:inline>
              </w:drawing>
            </w:r>
          </w:p>
        </w:tc>
        <w:tc>
          <w:tcPr>
            <w:tcW w:w="1426" w:type="dxa"/>
            <w:gridSpan w:val="3"/>
            <w:tcBorders/>
            <w:tcMar>
              <w:top w:w="0" w:type="dxa"/>
              <w:left w:w="0" w:type="dxa"/>
              <w:bottom w:w="0" w:type="dxa"/>
              <w:right w:w="0" w:type="dxa"/>
            </w:tcMar>
            <w:vAlign w:val="center"/>
          </w:tcPr>
          <w:p>
            <w:pPr>
              <w:pStyle w:val="TableContents"/>
              <w:bidi w:val="0"/>
              <w:spacing w:lineRule="auto" w:line="288"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88" w:before="60" w:after="60"/>
              <w:jc w:val="left"/>
              <w:rPr/>
            </w:pPr>
            <w:r>
              <w:rPr>
                <w:rFonts w:ascii="Arial;sans-serif" w:hAnsi="Arial;sans-serif"/>
                <w:b w:val="false"/>
                <w:color w:val="000000"/>
                <w:sz w:val="16"/>
              </w:rPr>
              <w:t>Director Since:    </w:t>
            </w:r>
            <w:r>
              <w:rPr>
                <w:rFonts w:ascii="Arial;sans-serif" w:hAnsi="Arial;sans-serif"/>
                <w:b/>
                <w:color w:val="00205B"/>
                <w:sz w:val="16"/>
              </w:rPr>
              <w:t>2021</w:t>
            </w:r>
          </w:p>
          <w:p>
            <w:pPr>
              <w:pStyle w:val="TableContents"/>
              <w:bidi w:val="0"/>
              <w:spacing w:lineRule="auto" w:line="288" w:before="60" w:after="60"/>
              <w:jc w:val="left"/>
              <w:rPr/>
            </w:pPr>
            <w:r>
              <w:rPr>
                <w:rFonts w:ascii="Arial;sans-serif" w:hAnsi="Arial;sans-serif"/>
                <w:b w:val="false"/>
                <w:color w:val="000000"/>
                <w:sz w:val="16"/>
              </w:rPr>
              <w:t xml:space="preserve">Age: </w:t>
            </w:r>
            <w:r>
              <w:rPr>
                <w:rFonts w:ascii="Arial;sans-serif" w:hAnsi="Arial;sans-serif"/>
                <w:b/>
                <w:color w:val="00205B"/>
                <w:sz w:val="16"/>
              </w:rPr>
              <w:t>62</w:t>
            </w:r>
          </w:p>
        </w:tc>
        <w:tc>
          <w:tcPr>
            <w:tcW w:w="6368" w:type="dxa"/>
            <w:gridSpan w:val="6"/>
            <w:tcBorders/>
            <w:tcMar>
              <w:top w:w="0" w:type="dxa"/>
              <w:left w:w="0" w:type="dxa"/>
              <w:bottom w:w="0" w:type="dxa"/>
              <w:right w:w="0" w:type="dxa"/>
            </w:tcMar>
            <w:vAlign w:val="center"/>
          </w:tcPr>
          <w:p>
            <w:pPr>
              <w:pStyle w:val="TableContents"/>
              <w:bidi w:val="0"/>
              <w:spacing w:lineRule="auto" w:line="288"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88" w:before="60" w:after="60"/>
              <w:jc w:val="left"/>
              <w:rPr/>
            </w:pPr>
            <w:r>
              <w:rPr>
                <w:rFonts w:ascii="Arial;sans-serif" w:hAnsi="Arial;sans-serif"/>
                <w:b w:val="false"/>
                <w:color w:val="1D2758"/>
                <w:sz w:val="18"/>
              </w:rPr>
              <w:t xml:space="preserve">&amp; </w:t>
            </w:r>
            <w:r>
              <w:rPr>
                <w:rFonts w:ascii="Arial;sans-serif" w:hAnsi="Arial;sans-serif"/>
                <w:b w:val="false"/>
                <w:color w:val="000000"/>
                <w:sz w:val="16"/>
              </w:rPr>
              <w:t xml:space="preserve">Leadership </w:t>
            </w:r>
            <w:r>
              <w:rPr>
                <w:rFonts w:ascii="Wingdings;sans-serif" w:hAnsi="Wingdings;sans-serif"/>
                <w:b/>
                <w:color w:val="1D2758"/>
                <w:sz w:val="18"/>
              </w:rPr>
              <w:t xml:space="preserve">O </w:t>
            </w:r>
            <w:r>
              <w:rPr>
                <w:rFonts w:ascii="Arial;sans-serif" w:hAnsi="Arial;sans-serif"/>
                <w:b w:val="false"/>
                <w:color w:val="000000"/>
                <w:sz w:val="16"/>
              </w:rPr>
              <w:t>Independence    </w:t>
            </w:r>
            <w:r>
              <w:rPr>
                <w:rFonts w:ascii="Wingdings;sans-serif" w:hAnsi="Wingdings;sans-serif"/>
                <w:b/>
                <w:color w:val="1D2758"/>
                <w:sz w:val="18"/>
              </w:rPr>
              <w:t xml:space="preserve">8 </w:t>
            </w:r>
            <w:r>
              <w:rPr>
                <w:rFonts w:ascii="Arial;sans-serif" w:hAnsi="Arial;sans-serif"/>
                <w:b w:val="false"/>
                <w:color w:val="000000"/>
                <w:sz w:val="16"/>
              </w:rPr>
              <w:t>Finance</w:t>
            </w:r>
          </w:p>
          <w:p>
            <w:pPr>
              <w:pStyle w:val="TableContents"/>
              <w:bidi w:val="0"/>
              <w:spacing w:lineRule="auto" w:line="288" w:before="60" w:after="60"/>
              <w:jc w:val="left"/>
              <w:rPr/>
            </w:pPr>
            <w:r>
              <w:rPr>
                <w:rFonts w:ascii="Wingdings;sans-serif" w:hAnsi="Wingdings;sans-serif"/>
                <w:b w:val="false"/>
                <w:color w:val="1D2758"/>
                <w:sz w:val="18"/>
              </w:rPr>
              <w:t xml:space="preserve">6 </w:t>
            </w:r>
            <w:r>
              <w:rPr>
                <w:rFonts w:ascii="Arial;sans-serif" w:hAnsi="Arial;sans-serif"/>
                <w:b w:val="false"/>
                <w:color w:val="000000"/>
                <w:sz w:val="16"/>
              </w:rPr>
              <w:t xml:space="preserve">Strategy     </w:t>
            </w:r>
            <w:r>
              <w:rPr>
                <w:rFonts w:ascii="Wingdings;sans-serif" w:hAnsi="Wingdings;sans-serif"/>
                <w:b w:val="false"/>
                <w:color w:val="1D2758"/>
                <w:sz w:val="18"/>
              </w:rPr>
              <w:t xml:space="preserve">: </w:t>
            </w:r>
            <w:r>
              <w:rPr>
                <w:rFonts w:ascii="Arial;sans-serif" w:hAnsi="Arial;sans-serif"/>
                <w:b w:val="false"/>
                <w:color w:val="000000"/>
                <w:sz w:val="16"/>
              </w:rPr>
              <w:t>Public Company    </w:t>
            </w:r>
          </w:p>
          <w:p>
            <w:pPr>
              <w:pStyle w:val="TableContents"/>
              <w:bidi w:val="0"/>
              <w:spacing w:lineRule="auto" w:line="288" w:before="60" w:after="30"/>
              <w:jc w:val="both"/>
              <w:rPr>
                <w:rFonts w:ascii="Arial;sans-serif" w:hAnsi="Arial;sans-serif"/>
                <w:b w:val="false"/>
                <w:color w:val="000000"/>
                <w:sz w:val="16"/>
              </w:rPr>
            </w:pPr>
            <w:r>
              <w:rPr>
                <w:rFonts w:ascii="Arial;sans-serif" w:hAnsi="Arial;sans-serif"/>
                <w:b w:val="false"/>
                <w:color w:val="000000"/>
                <w:sz w:val="16"/>
              </w:rPr>
              <w:t>The Board believes Ms. Owen’s depth of knowledge of the storage, real estate, construction and adjacent markets, governance expertise, finance, risk and oversight experience, as well as her experience as a director of two public companies enable her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Ms. Owen joined the WillScot Mobile Mini Board in November 2021. She serves as Chairman and founder of Battery Reef, LLC, a commercial real estate investment and management company. She has served in various leadership roles at Clark Enterprises, Inc., including as President and Chief Investment Officer of CEI Realty, Inc. and Chief Legal Officer of Clark Enterprises, Inc. Ms. Owen also serves on the board of Public Storage (NYSE: PSA). She previously served on WillScot’s board prior to the WillScot Mobile Mini merger as well as on the boards of Jernigan Capital, Inc. (formerly NYSE: JCAP) and Columbia Equity Trust, Inc. (formerly NYSE: COE). Ms. Owen also serves on the private boards of Carr Properties, a private office and residential REIT; the board of The Feil Organization, a commercial real estate investment and management company; and the Real Estate Investment Advisory Committee of ASB Capital Management, LLC. Ms. Owen received a Juris Doctorate from University of Chicago Law School and a Bachelor of Arts in Economics from Hamilton College. Further, Ms. Owen has been certified in Cybersecurity Oversight by Carnegie Mellon University.</w:t>
            </w:r>
          </w:p>
        </w:tc>
      </w:tr>
      <w:tr>
        <w:trPr/>
        <w:tc>
          <w:tcPr>
            <w:tcW w:w="38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368"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837" w:type="dxa"/>
            <w:gridSpan w:val="6"/>
            <w:tcBorders/>
            <w:tcMar>
              <w:top w:w="0" w:type="dxa"/>
              <w:left w:w="0" w:type="dxa"/>
              <w:bottom w:w="0" w:type="dxa"/>
              <w:right w:w="0" w:type="dxa"/>
            </w:tcMar>
            <w:vAlign w:val="center"/>
          </w:tcPr>
          <w:p>
            <w:pPr>
              <w:pStyle w:val="TableContents"/>
              <w:bidi w:val="0"/>
              <w:spacing w:lineRule="auto" w:line="240" w:before="53" w:after="60"/>
              <w:jc w:val="left"/>
              <w:rPr>
                <w:color w:val="000000"/>
              </w:rPr>
            </w:pPr>
            <w:r>
              <w:rPr>
                <w:color w:val="000000"/>
              </w:rPr>
              <w:t xml:space="preserve">• </w:t>
            </w:r>
            <w:r>
              <w:rPr>
                <w:rFonts w:ascii="Arial;sans-serif" w:hAnsi="Arial;sans-serif"/>
                <w:b w:val="false"/>
                <w:color w:val="000000"/>
                <w:sz w:val="16"/>
              </w:rPr>
              <w:t>Public Storage</w:t>
            </w:r>
          </w:p>
          <w:p>
            <w:pPr>
              <w:pStyle w:val="TableContents"/>
              <w:bidi w:val="0"/>
              <w:spacing w:lineRule="auto" w:line="240" w:before="60" w:after="30"/>
              <w:jc w:val="left"/>
              <w:rPr>
                <w:color w:val="000000"/>
              </w:rPr>
            </w:pPr>
            <w:r>
              <w:rPr>
                <w:color w:val="000000"/>
              </w:rPr>
              <w:t xml:space="preserve">• </w:t>
            </w:r>
            <w:r>
              <w:rPr>
                <w:rFonts w:ascii="Arial;sans-serif" w:hAnsi="Arial;sans-serif"/>
                <w:b w:val="false"/>
                <w:color w:val="000000"/>
                <w:sz w:val="16"/>
              </w:rPr>
              <w:t>Jernigan Capital, Inc.(former)</w:t>
            </w:r>
          </w:p>
          <w:p>
            <w:pPr>
              <w:pStyle w:val="TableContents"/>
              <w:bidi w:val="0"/>
              <w:spacing w:lineRule="auto" w:line="240" w:before="60" w:after="30"/>
              <w:jc w:val="left"/>
              <w:rPr>
                <w:color w:val="000000"/>
              </w:rPr>
            </w:pPr>
            <w:r>
              <w:rPr>
                <w:color w:val="000000"/>
              </w:rPr>
              <w:t> </w:t>
            </w:r>
          </w:p>
        </w:tc>
        <w:tc>
          <w:tcPr>
            <w:tcW w:w="6368" w:type="dxa"/>
            <w:gridSpan w:val="6"/>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val="false"/>
                <w:color w:val="000000"/>
                <w:sz w:val="16"/>
              </w:rPr>
            </w:pPr>
            <w:r>
              <w:rPr>
                <w:rFonts w:ascii="Arial;sans-serif" w:hAnsi="Arial;sans-serif"/>
                <w:b w:val="false"/>
                <w:color w:val="000000"/>
                <w:sz w:val="16"/>
              </w:rPr>
              <w:t xml:space="preserve">Compensation Committee </w:t>
            </w:r>
          </w:p>
          <w:p>
            <w:pPr>
              <w:pStyle w:val="TableContents"/>
              <w:bidi w:val="0"/>
              <w:spacing w:lineRule="auto" w:line="240" w:before="60" w:after="30"/>
              <w:jc w:val="left"/>
              <w:rPr>
                <w:rFonts w:ascii="Arial;sans-serif" w:hAnsi="Arial;sans-serif"/>
                <w:b w:val="false"/>
                <w:color w:val="000000"/>
                <w:sz w:val="16"/>
              </w:rPr>
            </w:pPr>
            <w:r>
              <w:rPr>
                <w:rFonts w:ascii="Arial;sans-serif" w:hAnsi="Arial;sans-serif"/>
                <w:b w:val="false"/>
                <w:color w:val="000000"/>
                <w:sz w:val="16"/>
              </w:rPr>
              <w:t xml:space="preserve">Nominating &amp; Corporate Governance Committee </w:t>
            </w:r>
          </w:p>
        </w:tc>
      </w:tr>
      <w:tr>
        <w:trPr/>
        <w:tc>
          <w:tcPr>
            <w:tcW w:w="38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6840"/>
                <wp:effectExtent l="0" t="0" r="0" b="0"/>
                <wp:wrapNone/>
                <wp:docPr id="128"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111</w:t>
                      </w:r>
                    </w:p>
                  </w:txbxContent>
                </v:textbox>
                <w10:wrap type="none"/>
              </v:rect>
            </w:pict>
          </mc:Fallback>
        </mc:AlternateContent>
      </w:r>
    </w:p>
    <w:p>
      <w:pPr>
        <w:pStyle w:val="TextBody"/>
        <w:bidi w:val="0"/>
        <w:spacing w:before="0" w:after="60"/>
        <w:jc w:val="left"/>
        <w:rPr/>
      </w:pPr>
      <w:r>
        <w:rPr/>
      </w:r>
    </w:p>
    <w:tbl>
      <w:tblPr>
        <w:tblW w:w="10205" w:type="dxa"/>
        <w:jc w:val="center"/>
        <w:tblInd w:w="0" w:type="dxa"/>
        <w:tblLayout w:type="fixed"/>
        <w:tblCellMar>
          <w:top w:w="28" w:type="dxa"/>
          <w:left w:w="28" w:type="dxa"/>
          <w:bottom w:w="28" w:type="dxa"/>
          <w:right w:w="28" w:type="dxa"/>
        </w:tblCellMar>
      </w:tblPr>
      <w:tblGrid>
        <w:gridCol w:w="870"/>
        <w:gridCol w:w="765"/>
        <w:gridCol w:w="769"/>
        <w:gridCol w:w="479"/>
        <w:gridCol w:w="479"/>
        <w:gridCol w:w="480"/>
        <w:gridCol w:w="988"/>
        <w:gridCol w:w="988"/>
        <w:gridCol w:w="988"/>
        <w:gridCol w:w="988"/>
        <w:gridCol w:w="988"/>
        <w:gridCol w:w="1423"/>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40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Jeff Sagansky</w:t>
            </w:r>
          </w:p>
        </w:tc>
        <w:tc>
          <w:tcPr>
            <w:tcW w:w="1438"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257300" cy="1257300"/>
                  <wp:effectExtent l="0" t="0" r="0" b="0"/>
                  <wp:docPr id="1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8" descr=""/>
                          <pic:cNvPicPr>
                            <a:picLocks noChangeAspect="1" noChangeArrowheads="1"/>
                          </pic:cNvPicPr>
                        </pic:nvPicPr>
                        <pic:blipFill>
                          <a:blip r:embed="rId19"/>
                          <a:stretch>
                            <a:fillRect/>
                          </a:stretch>
                        </pic:blipFill>
                        <pic:spPr bwMode="auto">
                          <a:xfrm>
                            <a:off x="0" y="0"/>
                            <a:ext cx="1257300" cy="1257300"/>
                          </a:xfrm>
                          <a:prstGeom prst="rect">
                            <a:avLst/>
                          </a:prstGeom>
                        </pic:spPr>
                      </pic:pic>
                    </a:graphicData>
                  </a:graphic>
                </wp:inline>
              </w:drawing>
            </w:r>
          </w:p>
        </w:tc>
        <w:tc>
          <w:tcPr>
            <w:tcW w:w="1438" w:type="dxa"/>
            <w:gridSpan w:val="3"/>
            <w:tcBorders/>
            <w:tcMar>
              <w:top w:w="0" w:type="dxa"/>
              <w:left w:w="0" w:type="dxa"/>
              <w:bottom w:w="0" w:type="dxa"/>
              <w:right w:w="0" w:type="dxa"/>
            </w:tcMar>
            <w:vAlign w:val="center"/>
          </w:tcPr>
          <w:p>
            <w:pPr>
              <w:pStyle w:val="TableContents"/>
              <w:bidi w:val="0"/>
              <w:spacing w:lineRule="auto" w:line="288"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88" w:before="60" w:after="60"/>
              <w:jc w:val="left"/>
              <w:rPr/>
            </w:pPr>
            <w:r>
              <w:rPr>
                <w:rFonts w:ascii="Arial;sans-serif" w:hAnsi="Arial;sans-serif"/>
                <w:b w:val="false"/>
                <w:color w:val="000000"/>
                <w:sz w:val="16"/>
              </w:rPr>
              <w:t>Director Since:    </w:t>
            </w:r>
            <w:r>
              <w:rPr>
                <w:rFonts w:ascii="Arial;sans-serif" w:hAnsi="Arial;sans-serif"/>
                <w:b/>
                <w:color w:val="00205B"/>
                <w:sz w:val="16"/>
              </w:rPr>
              <w:t>2017</w:t>
            </w:r>
          </w:p>
          <w:p>
            <w:pPr>
              <w:pStyle w:val="TableContents"/>
              <w:bidi w:val="0"/>
              <w:spacing w:lineRule="auto" w:line="288" w:before="60" w:after="60"/>
              <w:jc w:val="left"/>
              <w:rPr/>
            </w:pPr>
            <w:r>
              <w:rPr>
                <w:rFonts w:ascii="Arial;sans-serif" w:hAnsi="Arial;sans-serif"/>
                <w:b w:val="false"/>
                <w:color w:val="000000"/>
                <w:sz w:val="16"/>
              </w:rPr>
              <w:t xml:space="preserve">Age: </w:t>
            </w:r>
            <w:r>
              <w:rPr>
                <w:rFonts w:ascii="Arial;sans-serif" w:hAnsi="Arial;sans-serif"/>
                <w:b/>
                <w:color w:val="00205B"/>
                <w:sz w:val="16"/>
              </w:rPr>
              <w:t>72</w:t>
            </w:r>
          </w:p>
        </w:tc>
        <w:tc>
          <w:tcPr>
            <w:tcW w:w="6363" w:type="dxa"/>
            <w:gridSpan w:val="6"/>
            <w:tcBorders/>
            <w:tcMar>
              <w:top w:w="0" w:type="dxa"/>
              <w:left w:w="0" w:type="dxa"/>
              <w:bottom w:w="0" w:type="dxa"/>
              <w:right w:w="0" w:type="dxa"/>
            </w:tcMar>
            <w:vAlign w:val="center"/>
          </w:tcPr>
          <w:p>
            <w:pPr>
              <w:pStyle w:val="TableContents"/>
              <w:bidi w:val="0"/>
              <w:spacing w:lineRule="auto" w:line="288"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88" w:before="60" w:after="60"/>
              <w:jc w:val="left"/>
              <w:rPr/>
            </w:pPr>
            <w:r>
              <w:rPr>
                <w:rFonts w:ascii="Arial;sans-serif" w:hAnsi="Arial;sans-serif"/>
                <w:b w:val="false"/>
                <w:color w:val="1D2758"/>
                <w:sz w:val="18"/>
              </w:rPr>
              <w:t xml:space="preserve">&amp; </w:t>
            </w:r>
            <w:r>
              <w:rPr>
                <w:rFonts w:ascii="Arial;sans-serif" w:hAnsi="Arial;sans-serif"/>
                <w:b w:val="false"/>
                <w:color w:val="000000"/>
                <w:sz w:val="16"/>
              </w:rPr>
              <w:t xml:space="preserve">Leadership </w:t>
            </w:r>
            <w:r>
              <w:rPr>
                <w:rFonts w:ascii="Wingdings;sans-serif" w:hAnsi="Wingdings;sans-serif"/>
                <w:b/>
                <w:color w:val="1D2758"/>
                <w:sz w:val="18"/>
              </w:rPr>
              <w:t xml:space="preserve">O </w:t>
            </w:r>
            <w:r>
              <w:rPr>
                <w:rFonts w:ascii="Arial;sans-serif" w:hAnsi="Arial;sans-serif"/>
                <w:b w:val="false"/>
                <w:color w:val="000000"/>
                <w:sz w:val="16"/>
              </w:rPr>
              <w:t>Independence    </w:t>
            </w:r>
            <w:r>
              <w:rPr>
                <w:rFonts w:ascii="Wingdings;sans-serif" w:hAnsi="Wingdings;sans-serif"/>
                <w:b/>
                <w:color w:val="1D2758"/>
                <w:sz w:val="18"/>
              </w:rPr>
              <w:t xml:space="preserve">8 </w:t>
            </w:r>
            <w:r>
              <w:rPr>
                <w:rFonts w:ascii="Arial;sans-serif" w:hAnsi="Arial;sans-serif"/>
                <w:b w:val="false"/>
                <w:color w:val="000000"/>
                <w:sz w:val="16"/>
              </w:rPr>
              <w:t xml:space="preserve">Finance </w:t>
            </w:r>
            <w:r>
              <w:rPr>
                <w:rFonts w:ascii="Wingdings;sans-serif" w:hAnsi="Wingdings;sans-serif"/>
                <w:b w:val="false"/>
                <w:color w:val="1D2758"/>
                <w:sz w:val="18"/>
              </w:rPr>
              <w:t xml:space="preserve">6 </w:t>
            </w:r>
            <w:r>
              <w:rPr>
                <w:rFonts w:ascii="Arial;sans-serif" w:hAnsi="Arial;sans-serif"/>
                <w:b w:val="false"/>
                <w:color w:val="000000"/>
                <w:sz w:val="16"/>
              </w:rPr>
              <w:t xml:space="preserve">Strategy     </w:t>
            </w:r>
            <w:r>
              <w:rPr>
                <w:rFonts w:ascii="Wingdings;sans-serif" w:hAnsi="Wingdings;sans-serif"/>
                <w:b w:val="false"/>
                <w:color w:val="1D2758"/>
                <w:sz w:val="18"/>
              </w:rPr>
              <w:t xml:space="preserve">: </w:t>
            </w:r>
            <w:r>
              <w:rPr>
                <w:rFonts w:ascii="Arial;sans-serif" w:hAnsi="Arial;sans-serif"/>
                <w:b w:val="false"/>
                <w:color w:val="000000"/>
                <w:sz w:val="16"/>
              </w:rPr>
              <w:t>Public Company    </w:t>
            </w:r>
          </w:p>
          <w:p>
            <w:pPr>
              <w:pStyle w:val="TableContents"/>
              <w:bidi w:val="0"/>
              <w:spacing w:lineRule="auto" w:line="288" w:before="60" w:after="30"/>
              <w:jc w:val="both"/>
              <w:rPr>
                <w:rFonts w:ascii="Arial;sans-serif" w:hAnsi="Arial;sans-serif"/>
                <w:b w:val="false"/>
                <w:color w:val="000000"/>
                <w:sz w:val="16"/>
              </w:rPr>
            </w:pPr>
            <w:r>
              <w:rPr>
                <w:rFonts w:ascii="Arial;sans-serif" w:hAnsi="Arial;sans-serif"/>
                <w:b w:val="false"/>
                <w:color w:val="000000"/>
                <w:sz w:val="16"/>
              </w:rPr>
              <w:t>The Board believes Mr. Sagansky’s experience with mergers and acquisitions and capital markets, together with his experience as a senior executive and director of growth-oriented public and private companies, enables him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Mr. Sagansky has served as a Director since November 2017 including as a Director of WillScot Mobile Mini since the completion of the WillScot Mobile Mini merger. Mr. Sagansky has served in various leadership positions with Paxson Communications, Sony Pictures, CBS Entertainment, and Tristar Pictures, to name a few. He was Chairman and CEO of Diamond Platinum Eagle Acquisition Corp., when the company effected a three-way merger with Draft Kings and SB Tech. Mr. Sagansky served as Chairman and CEO of Platinum Eagle Acquisition Corp. and as a director for several other publicly traded companies. He is a graduate of Harvard University.</w:t>
            </w:r>
          </w:p>
        </w:tc>
      </w:tr>
      <w:tr>
        <w:trPr/>
        <w:tc>
          <w:tcPr>
            <w:tcW w:w="38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363"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842" w:type="dxa"/>
            <w:gridSpan w:val="6"/>
            <w:tcBorders/>
            <w:tcMar>
              <w:top w:w="0" w:type="dxa"/>
              <w:left w:w="0" w:type="dxa"/>
              <w:bottom w:w="0" w:type="dxa"/>
              <w:right w:w="0" w:type="dxa"/>
            </w:tcMar>
            <w:vAlign w:val="center"/>
          </w:tcPr>
          <w:p>
            <w:pPr>
              <w:pStyle w:val="TableContents"/>
              <w:bidi w:val="0"/>
              <w:spacing w:lineRule="auto" w:line="240" w:before="53" w:after="60"/>
              <w:jc w:val="left"/>
              <w:rPr>
                <w:color w:val="000000"/>
              </w:rPr>
            </w:pPr>
            <w:r>
              <w:rPr>
                <w:color w:val="000000"/>
              </w:rPr>
              <w:t xml:space="preserve">• </w:t>
            </w:r>
            <w:r>
              <w:rPr>
                <w:rFonts w:ascii="Arial;sans-serif" w:hAnsi="Arial;sans-serif"/>
                <w:b w:val="false"/>
                <w:color w:val="000000"/>
                <w:sz w:val="16"/>
              </w:rPr>
              <w:t>Target Hospitality Corp.</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Screaming Eagle Acquisition Corp.</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Sharecare, Inc.</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Diamond Eagle Acquisition Corp.(former)</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Platinum Eagle Acquisition Corp.(former)</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Global Eagle Entertainment Inc. (former)</w:t>
            </w:r>
          </w:p>
          <w:p>
            <w:pPr>
              <w:pStyle w:val="TableContents"/>
              <w:bidi w:val="0"/>
              <w:spacing w:lineRule="auto" w:line="240" w:before="60" w:after="60"/>
              <w:jc w:val="left"/>
              <w:rPr>
                <w:color w:val="000000"/>
              </w:rPr>
            </w:pPr>
            <w:r>
              <w:rPr>
                <w:color w:val="000000"/>
              </w:rPr>
              <w:t xml:space="preserve">• </w:t>
            </w:r>
            <w:r>
              <w:rPr>
                <w:rFonts w:ascii="Arial;sans-serif" w:hAnsi="Arial;sans-serif"/>
                <w:b w:val="false"/>
                <w:color w:val="000000"/>
                <w:sz w:val="16"/>
              </w:rPr>
              <w:t>Falcon Capital Acquisition Corp. (former)</w:t>
            </w:r>
          </w:p>
        </w:tc>
        <w:tc>
          <w:tcPr>
            <w:tcW w:w="6363" w:type="dxa"/>
            <w:gridSpan w:val="6"/>
            <w:tcBorders/>
            <w:tcMar>
              <w:top w:w="0" w:type="dxa"/>
              <w:left w:w="0" w:type="dxa"/>
              <w:bottom w:w="0" w:type="dxa"/>
              <w:right w:w="0" w:type="dxa"/>
            </w:tcMar>
            <w:vAlign w:val="center"/>
          </w:tcPr>
          <w:p>
            <w:pPr>
              <w:pStyle w:val="TableContents"/>
              <w:bidi w:val="0"/>
              <w:spacing w:lineRule="auto" w:line="240" w:before="53" w:after="60"/>
              <w:jc w:val="left"/>
              <w:rPr>
                <w:rFonts w:ascii="Arial;sans-serif" w:hAnsi="Arial;sans-serif"/>
                <w:b w:val="false"/>
                <w:color w:val="000000"/>
                <w:sz w:val="16"/>
              </w:rPr>
            </w:pPr>
            <w:r>
              <w:rPr>
                <w:rFonts w:ascii="Arial;sans-serif" w:hAnsi="Arial;sans-serif"/>
                <w:b w:val="false"/>
                <w:color w:val="000000"/>
                <w:sz w:val="16"/>
              </w:rPr>
              <w:t xml:space="preserve">Compensation Committee - Chair </w:t>
            </w:r>
          </w:p>
          <w:p>
            <w:pPr>
              <w:pStyle w:val="TableContents"/>
              <w:bidi w:val="0"/>
              <w:spacing w:lineRule="auto" w:line="240" w:before="60" w:after="30"/>
              <w:jc w:val="left"/>
              <w:rPr>
                <w:rFonts w:ascii="Arial;sans-serif" w:hAnsi="Arial;sans-serif"/>
                <w:b w:val="false"/>
                <w:color w:val="000000"/>
                <w:sz w:val="16"/>
              </w:rPr>
            </w:pPr>
            <w:r>
              <w:rPr>
                <w:rFonts w:ascii="Arial;sans-serif" w:hAnsi="Arial;sans-serif"/>
                <w:b w:val="false"/>
                <w:color w:val="000000"/>
                <w:sz w:val="16"/>
              </w:rPr>
              <w:t>Nominating &amp; Corporate Governance Committee</w:t>
            </w:r>
          </w:p>
        </w:tc>
      </w:tr>
      <w:tr>
        <w:trPr/>
        <w:tc>
          <w:tcPr>
            <w:tcW w:w="2404"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rPr>
            </w:pPr>
            <w:r>
              <w:rPr>
                <w:rFonts w:ascii="Arial;sans-serif" w:hAnsi="Arial;sans-serif"/>
                <w:b/>
                <w:color w:val="00205B"/>
                <w:sz w:val="16"/>
              </w:rPr>
              <w:t>Michael W. Upchurch</w:t>
            </w:r>
          </w:p>
        </w:tc>
        <w:tc>
          <w:tcPr>
            <w:tcW w:w="1438"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3"/>
            <w:tcBorders>
              <w:top w:val="single" w:sz="8"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4" w:type="dxa"/>
            <w:gridSpan w:val="3"/>
            <w:tcBorders/>
            <w:tcMar>
              <w:top w:w="0" w:type="dxa"/>
              <w:left w:w="0" w:type="dxa"/>
              <w:bottom w:w="0" w:type="dxa"/>
              <w:right w:w="0" w:type="dxa"/>
            </w:tcMar>
            <w:vAlign w:val="center"/>
          </w:tcPr>
          <w:p>
            <w:pPr>
              <w:pStyle w:val="TableContents"/>
              <w:bidi w:val="0"/>
              <w:spacing w:before="53" w:after="30"/>
              <w:jc w:val="left"/>
              <w:rPr/>
            </w:pPr>
            <w:r>
              <w:rPr/>
              <w:drawing>
                <wp:inline distT="0" distB="0" distL="0" distR="0">
                  <wp:extent cx="1257300" cy="1257300"/>
                  <wp:effectExtent l="0" t="0" r="0" b="0"/>
                  <wp:docPr id="1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9" descr=""/>
                          <pic:cNvPicPr>
                            <a:picLocks noChangeAspect="1" noChangeArrowheads="1"/>
                          </pic:cNvPicPr>
                        </pic:nvPicPr>
                        <pic:blipFill>
                          <a:blip r:embed="rId20"/>
                          <a:stretch>
                            <a:fillRect/>
                          </a:stretch>
                        </pic:blipFill>
                        <pic:spPr bwMode="auto">
                          <a:xfrm>
                            <a:off x="0" y="0"/>
                            <a:ext cx="1257300" cy="1257300"/>
                          </a:xfrm>
                          <a:prstGeom prst="rect">
                            <a:avLst/>
                          </a:prstGeom>
                        </pic:spPr>
                      </pic:pic>
                    </a:graphicData>
                  </a:graphic>
                </wp:inline>
              </w:drawing>
            </w:r>
          </w:p>
        </w:tc>
        <w:tc>
          <w:tcPr>
            <w:tcW w:w="1438" w:type="dxa"/>
            <w:gridSpan w:val="3"/>
            <w:tcBorders/>
            <w:tcMar>
              <w:top w:w="0" w:type="dxa"/>
              <w:left w:w="0" w:type="dxa"/>
              <w:bottom w:w="0" w:type="dxa"/>
              <w:right w:w="0" w:type="dxa"/>
            </w:tcMar>
            <w:vAlign w:val="center"/>
          </w:tcPr>
          <w:p>
            <w:pPr>
              <w:pStyle w:val="TableContents"/>
              <w:bidi w:val="0"/>
              <w:spacing w:lineRule="auto" w:line="288" w:before="53" w:after="60"/>
              <w:jc w:val="left"/>
              <w:rPr>
                <w:rFonts w:ascii="Arial;sans-serif" w:hAnsi="Arial;sans-serif"/>
                <w:b/>
                <w:color w:val="00205B"/>
                <w:sz w:val="16"/>
                <w:u w:val="single"/>
              </w:rPr>
            </w:pPr>
            <w:r>
              <w:rPr>
                <w:rFonts w:ascii="Arial;sans-serif" w:hAnsi="Arial;sans-serif"/>
                <w:b/>
                <w:color w:val="00205B"/>
                <w:sz w:val="16"/>
                <w:u w:val="single"/>
              </w:rPr>
              <w:t>Independent</w:t>
            </w:r>
          </w:p>
          <w:p>
            <w:pPr>
              <w:pStyle w:val="TableContents"/>
              <w:bidi w:val="0"/>
              <w:spacing w:lineRule="auto" w:line="288" w:before="60" w:after="60"/>
              <w:jc w:val="left"/>
              <w:rPr/>
            </w:pPr>
            <w:r>
              <w:rPr>
                <w:rFonts w:ascii="Arial;sans-serif" w:hAnsi="Arial;sans-serif"/>
                <w:b w:val="false"/>
                <w:color w:val="000000"/>
                <w:sz w:val="16"/>
              </w:rPr>
              <w:t>Director Since:    </w:t>
            </w:r>
            <w:r>
              <w:rPr>
                <w:rFonts w:ascii="Arial;sans-serif" w:hAnsi="Arial;sans-serif"/>
                <w:b/>
                <w:color w:val="00205B"/>
                <w:sz w:val="16"/>
              </w:rPr>
              <w:t>2020</w:t>
            </w:r>
          </w:p>
          <w:p>
            <w:pPr>
              <w:pStyle w:val="TableContents"/>
              <w:bidi w:val="0"/>
              <w:spacing w:lineRule="auto" w:line="288" w:before="60" w:after="60"/>
              <w:jc w:val="left"/>
              <w:rPr/>
            </w:pPr>
            <w:r>
              <w:rPr>
                <w:rFonts w:ascii="Arial;sans-serif" w:hAnsi="Arial;sans-serif"/>
                <w:b w:val="false"/>
                <w:color w:val="000000"/>
                <w:sz w:val="16"/>
              </w:rPr>
              <w:t xml:space="preserve">Age: </w:t>
            </w:r>
            <w:r>
              <w:rPr>
                <w:rFonts w:ascii="Arial;sans-serif" w:hAnsi="Arial;sans-serif"/>
                <w:b/>
                <w:color w:val="00205B"/>
                <w:sz w:val="16"/>
              </w:rPr>
              <w:t>63</w:t>
            </w:r>
          </w:p>
        </w:tc>
        <w:tc>
          <w:tcPr>
            <w:tcW w:w="6363" w:type="dxa"/>
            <w:gridSpan w:val="6"/>
            <w:tcBorders/>
            <w:tcMar>
              <w:top w:w="0" w:type="dxa"/>
              <w:left w:w="0" w:type="dxa"/>
              <w:bottom w:w="0" w:type="dxa"/>
              <w:right w:w="0" w:type="dxa"/>
            </w:tcMar>
            <w:vAlign w:val="center"/>
          </w:tcPr>
          <w:p>
            <w:pPr>
              <w:pStyle w:val="TableContents"/>
              <w:bidi w:val="0"/>
              <w:spacing w:lineRule="auto" w:line="288" w:before="53" w:after="60"/>
              <w:jc w:val="center"/>
              <w:rPr>
                <w:rFonts w:ascii="Arial;sans-serif" w:hAnsi="Arial;sans-serif"/>
                <w:b/>
                <w:color w:val="00205B"/>
                <w:sz w:val="16"/>
                <w:u w:val="single"/>
              </w:rPr>
            </w:pPr>
            <w:r>
              <w:rPr>
                <w:rFonts w:ascii="Arial;sans-serif" w:hAnsi="Arial;sans-serif"/>
                <w:b/>
                <w:color w:val="00205B"/>
                <w:sz w:val="16"/>
                <w:u w:val="single"/>
              </w:rPr>
              <w:t>Key Skills &amp; Qualifications</w:t>
            </w:r>
          </w:p>
          <w:p>
            <w:pPr>
              <w:pStyle w:val="TableContents"/>
              <w:bidi w:val="0"/>
              <w:spacing w:lineRule="auto" w:line="288" w:before="60" w:after="60"/>
              <w:jc w:val="left"/>
              <w:rPr/>
            </w:pPr>
            <w:r>
              <w:rPr>
                <w:rFonts w:ascii="Arial;sans-serif" w:hAnsi="Arial;sans-serif"/>
                <w:b w:val="false"/>
                <w:color w:val="1D2758"/>
                <w:sz w:val="18"/>
              </w:rPr>
              <w:t xml:space="preserve">&amp; </w:t>
            </w:r>
            <w:r>
              <w:rPr>
                <w:rFonts w:ascii="Arial;sans-serif" w:hAnsi="Arial;sans-serif"/>
                <w:b w:val="false"/>
                <w:color w:val="000000"/>
                <w:sz w:val="16"/>
              </w:rPr>
              <w:t xml:space="preserve">Leadership </w:t>
            </w:r>
            <w:r>
              <w:rPr>
                <w:rFonts w:ascii="Wingdings;sans-serif" w:hAnsi="Wingdings;sans-serif"/>
                <w:b/>
                <w:color w:val="1D2758"/>
                <w:sz w:val="18"/>
              </w:rPr>
              <w:t xml:space="preserve">O </w:t>
            </w:r>
            <w:r>
              <w:rPr>
                <w:rFonts w:ascii="Arial;sans-serif" w:hAnsi="Arial;sans-serif"/>
                <w:b w:val="false"/>
                <w:color w:val="000000"/>
                <w:sz w:val="16"/>
              </w:rPr>
              <w:t>Independence</w:t>
            </w:r>
          </w:p>
          <w:p>
            <w:pPr>
              <w:pStyle w:val="TableContents"/>
              <w:bidi w:val="0"/>
              <w:spacing w:lineRule="auto" w:line="288" w:before="60" w:after="60"/>
              <w:jc w:val="left"/>
              <w:rPr/>
            </w:pPr>
            <w:r>
              <w:rPr>
                <w:rFonts w:ascii="Wingdings;sans-serif" w:hAnsi="Wingdings;sans-serif"/>
                <w:b w:val="false"/>
                <w:color w:val="1D2758"/>
                <w:sz w:val="18"/>
              </w:rPr>
              <w:t xml:space="preserve">6 </w:t>
            </w:r>
            <w:r>
              <w:rPr>
                <w:rFonts w:ascii="Arial;sans-serif" w:hAnsi="Arial;sans-serif"/>
                <w:b w:val="false"/>
                <w:color w:val="000000"/>
                <w:sz w:val="16"/>
              </w:rPr>
              <w:t xml:space="preserve">Strategy      </w:t>
            </w:r>
            <w:r>
              <w:rPr>
                <w:rFonts w:ascii="Wingdings;sans-serif" w:hAnsi="Wingdings;sans-serif"/>
                <w:b/>
                <w:color w:val="1D2758"/>
                <w:sz w:val="18"/>
              </w:rPr>
              <w:t xml:space="preserve">8 </w:t>
            </w:r>
            <w:r>
              <w:rPr>
                <w:rFonts w:ascii="Arial;sans-serif" w:hAnsi="Arial;sans-serif"/>
                <w:b w:val="false"/>
                <w:color w:val="000000"/>
                <w:sz w:val="16"/>
              </w:rPr>
              <w:t>Finance</w:t>
            </w:r>
          </w:p>
          <w:p>
            <w:pPr>
              <w:pStyle w:val="TableContents"/>
              <w:bidi w:val="0"/>
              <w:spacing w:lineRule="auto" w:line="288" w:before="60" w:after="30"/>
              <w:jc w:val="both"/>
              <w:rPr>
                <w:rFonts w:ascii="Arial;sans-serif" w:hAnsi="Arial;sans-serif"/>
                <w:b w:val="false"/>
                <w:color w:val="000000"/>
                <w:sz w:val="16"/>
              </w:rPr>
            </w:pPr>
            <w:r>
              <w:rPr>
                <w:rFonts w:ascii="Arial;sans-serif" w:hAnsi="Arial;sans-serif"/>
                <w:b w:val="false"/>
                <w:color w:val="000000"/>
                <w:sz w:val="16"/>
              </w:rPr>
              <w:t>The Board believes Mr. Upchurch's leadership experience in business, management operations and finance, including his 15-year tenure as CFO, as well as his 34 years of leadership experience with publicly traded companies, including guiding large M&amp;A transactions and navigating the related regulatory and integration regimes enables him to provide meaningful guidance to our Board.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Principal Occupation &amp; Business Experience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53" w:after="30"/>
              <w:jc w:val="both"/>
              <w:rPr>
                <w:rFonts w:ascii="Arial;sans-serif" w:hAnsi="Arial;sans-serif"/>
                <w:b w:val="false"/>
                <w:color w:val="000000"/>
                <w:sz w:val="16"/>
              </w:rPr>
            </w:pPr>
            <w:r>
              <w:rPr>
                <w:rFonts w:ascii="Arial;sans-serif" w:hAnsi="Arial;sans-serif"/>
                <w:b w:val="false"/>
                <w:color w:val="000000"/>
                <w:sz w:val="16"/>
              </w:rPr>
              <w:t>Mr. Upchurch served as a Director of Mobile Mini beginning in February 2019 and has continued as a Director of WillScot Mobile Mini. He served as Executive Vice President and Chief Financial Officer for Kansas City Southern (“KCS”), a transportation holding company that has railroad investments in the U.S., Mexico and Panama linking the commercial and industrial centers of North America, prior to retiring in April 2023. Mr. Upchurch served as Chief Financial Officer at KCS since October 2008, having joined KCS in March 2008. Prior to KCS, Mr. Upchurch held various positions at Sprint, most recently as senior vice president – financial operations. He began his career as an accountant with Price Waterhouse. Mr. Upchurch is a certified public accountant and has a B.S. degree in Business Administration from Kansas State University.</w:t>
            </w:r>
          </w:p>
        </w:tc>
      </w:tr>
      <w:tr>
        <w:trPr/>
        <w:tc>
          <w:tcPr>
            <w:tcW w:w="384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205B"/>
                <w:sz w:val="16"/>
                <w:u w:val="single"/>
              </w:rPr>
            </w:pPr>
            <w:r>
              <w:rPr>
                <w:rFonts w:ascii="Arial;sans-serif" w:hAnsi="Arial;sans-serif"/>
                <w:b/>
                <w:color w:val="00205B"/>
                <w:sz w:val="16"/>
                <w:u w:val="single"/>
              </w:rPr>
              <w:t>Other Public Company Directorships in the Last 5 Years</w:t>
            </w:r>
          </w:p>
        </w:tc>
        <w:tc>
          <w:tcPr>
            <w:tcW w:w="6363" w:type="dxa"/>
            <w:gridSpan w:val="6"/>
            <w:tcBorders/>
            <w:tcMar>
              <w:top w:w="0" w:type="dxa"/>
              <w:left w:w="0" w:type="dxa"/>
              <w:bottom w:w="0" w:type="dxa"/>
              <w:right w:w="0" w:type="dxa"/>
            </w:tcMar>
            <w:vAlign w:val="center"/>
          </w:tcPr>
          <w:p>
            <w:pPr>
              <w:pStyle w:val="TableContents"/>
              <w:bidi w:val="0"/>
              <w:spacing w:lineRule="auto" w:line="240" w:before="53" w:after="283"/>
              <w:jc w:val="center"/>
              <w:rPr>
                <w:rFonts w:ascii="Arial;sans-serif" w:hAnsi="Arial;sans-serif"/>
                <w:b/>
                <w:color w:val="00205B"/>
                <w:sz w:val="16"/>
                <w:u w:val="single"/>
              </w:rPr>
            </w:pPr>
            <w:r>
              <w:rPr>
                <w:rFonts w:ascii="Arial;sans-serif" w:hAnsi="Arial;sans-serif"/>
                <w:b/>
                <w:color w:val="00205B"/>
                <w:sz w:val="16"/>
                <w:u w:val="single"/>
              </w:rPr>
              <w:t>Committees of the WillScot Mobile</w:t>
            </w:r>
          </w:p>
          <w:p>
            <w:pPr>
              <w:pStyle w:val="TableContents"/>
              <w:bidi w:val="0"/>
              <w:spacing w:lineRule="auto" w:line="240" w:before="0" w:after="30"/>
              <w:jc w:val="center"/>
              <w:rPr>
                <w:rFonts w:ascii="Arial;sans-serif" w:hAnsi="Arial;sans-serif"/>
                <w:b/>
                <w:color w:val="00205B"/>
                <w:sz w:val="16"/>
                <w:u w:val="single"/>
              </w:rPr>
            </w:pPr>
            <w:r>
              <w:rPr>
                <w:rFonts w:ascii="Arial;sans-serif" w:hAnsi="Arial;sans-serif"/>
                <w:b/>
                <w:color w:val="00205B"/>
                <w:sz w:val="16"/>
                <w:u w:val="single"/>
              </w:rPr>
              <w:t>Mini Board of Directors</w:t>
            </w:r>
          </w:p>
        </w:tc>
      </w:tr>
      <w:tr>
        <w:trPr/>
        <w:tc>
          <w:tcPr>
            <w:tcW w:w="3842"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Arial;sans-serif" w:hAnsi="Arial;sans-serif"/>
                <w:b w:val="false"/>
                <w:color w:val="000000"/>
                <w:sz w:val="16"/>
              </w:rPr>
              <w:t>Mobile Mini, Inc. (until merger)</w:t>
            </w:r>
          </w:p>
        </w:tc>
        <w:tc>
          <w:tcPr>
            <w:tcW w:w="6363" w:type="dxa"/>
            <w:gridSpan w:val="6"/>
            <w:tcBorders/>
            <w:tcMar>
              <w:top w:w="0" w:type="dxa"/>
              <w:left w:w="0" w:type="dxa"/>
              <w:bottom w:w="0" w:type="dxa"/>
              <w:right w:w="0" w:type="dxa"/>
            </w:tcMar>
            <w:vAlign w:val="center"/>
          </w:tcPr>
          <w:p>
            <w:pPr>
              <w:pStyle w:val="TableContents"/>
              <w:bidi w:val="0"/>
              <w:spacing w:lineRule="auto" w:line="240" w:before="53" w:after="30"/>
              <w:jc w:val="left"/>
              <w:rPr>
                <w:rFonts w:ascii="Arial;sans-serif" w:hAnsi="Arial;sans-serif"/>
                <w:b w:val="false"/>
                <w:color w:val="000000"/>
                <w:sz w:val="16"/>
              </w:rPr>
            </w:pPr>
            <w:r>
              <w:rPr>
                <w:rFonts w:ascii="Arial;sans-serif" w:hAnsi="Arial;sans-serif"/>
                <w:b w:val="false"/>
                <w:color w:val="000000"/>
                <w:sz w:val="16"/>
              </w:rPr>
              <w:t>Audit Committee</w:t>
            </w:r>
          </w:p>
          <w:p>
            <w:pPr>
              <w:pStyle w:val="TableContents"/>
              <w:bidi w:val="0"/>
              <w:spacing w:lineRule="auto" w:line="240" w:before="60" w:after="30"/>
              <w:jc w:val="left"/>
              <w:rPr>
                <w:rFonts w:ascii="Arial;sans-serif" w:hAnsi="Arial;sans-serif"/>
                <w:b w:val="false"/>
                <w:color w:val="000000"/>
                <w:sz w:val="16"/>
              </w:rPr>
            </w:pPr>
            <w:r>
              <w:rPr>
                <w:rFonts w:ascii="Arial;sans-serif" w:hAnsi="Arial;sans-serif"/>
                <w:b w:val="false"/>
                <w:color w:val="000000"/>
                <w:sz w:val="16"/>
              </w:rPr>
              <w:t>Nominating &amp; Corporate Governance Committee</w:t>
            </w:r>
          </w:p>
        </w:tc>
      </w:tr>
    </w:tbl>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Audit Committee</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Members: Mark Bartlett (Chair), Gerard E. Holthaus, Natalia Johnson and Michael W. Upchurch</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Board has determined that each Audit Committee member is independent and otherwise qualifies as an Audit Committee member pursuant to applicable rules of the SEC and Nasdaq. The Board has determined that Mark S. Bartlett, Gerard E. Holthaus and Michael W. Upchurch each qualifies as an “audit committee financial expert” within the meaning stipulated by the SEC, based upon the education and experience described in their biography.</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The Audit Committee’s primary responsibilities are to monitor: (i) the integrity of our financial statements and accounting and financial reporting processes; (ii) our compliance with legal and regulatory requirements; (iii) the independent auditor’s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131"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qualifications, performance, and independence; (iv) the performance of our internal audit and disclosure controls functions; (v) our risk management framework, and (vi) our policies and processes related to cybersecurity and data-protection threats.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In discharging these responsibilities, the Audit Committee, among other things: (i) selects, oversees, and retains our independent auditor; (ii) reviews and discusses the scope of the annual audit and written communications by our independent auditor to the Audit Committee and management; (iii) oversees our financial reporting activities, including the annual audit and the accounting standards and principles we follow; (iv) approves audit and non-audit services by our independent auditor and applicable fees; (v) reviews and discusses our periodic reports filed with the SEC; (vi) reviews and discusses our earnings press releases and communications; (vii) oversees our internal audit activities; (viii) oversees our disclosure controls and procedures and reviews our internal controls over financial reporting; (ix) monitors, reviews and discusses the Company’s risk management framework, consisting of a variety of potential risks such as cybersecurity, privacy, and ESG; (x) periodically reviews our policies and processes related to cybersecurity and data-protection threats, including assessment, identification and management of material risks, mitigation strategy, governance and incident reporting, and coordinates with the Board and management, as applicable, to provide oversight over the preparation of relevant disclosures, including those required by the new SEC cybersecurity rules; (xi) oversees the administration of our Code of Business Conduct and Ethics and other ethics policies; (xii) oversees and periodically reviews and edits our Whistleblower Policy; (xiii) reviews, discusses, and approves insider and affiliated person transactions; (xiv) administers the policy with respect to the hiring of former employees of our independent auditor; and (xv) with respect to all of the foregoing responsibilities, interfaces with management, the independent auditor, the internal audit department, and any other parties to discuss, review, and execute such responsibilities. In addition, the Audit Committee performs an annual self-evaluation, reviews its charter and recommends changes to the Nominating and Corporate Governance Committee for submission to the Board for approval, and prepares the Audit Committee report required to be included in our annual proxy statement.</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Code of Business Conduct &amp; Ethics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Our Board has adopted a Code of Business Conduct and Ethics (“Code of Business Conduct”), which applies to our directors, officers and employees, and a Code of Ethics for the Chief Executive Officer and Senior Financial Officers (“Code of Ethics”), which supplements our Code of Business Conduct and applies to our CEO, principal financial officer, principal accounting officer and controller. Copies of the Code of Business Conduct and the Code of Ethics are available online at http://www.willscotmobilemini.com/corporate-governance/governance-overview. If the Board grants a waiver under our Code of Business Conduct to any director, executive officer or senior financial officer, or we make any substantive amendment to the Code of Ethics or grant any waiver thereunder to a covered officer, we will promptly disclose the nature of the applicable waiver or amendment on our website.</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Process for Recommending Directors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Nominating and Corporate Governance Committee solicits and receives recommendations for potential director candidates from stockholders, management, directors and other sources. The Board will select nominees based on independence, character, ability to exercise sound judgment, diversity, age, demonstrated leadership, qualifications, skills, including financial literacy, experience in the context of the needs of the Board, and other relevant factors.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Each year, the Board (via the Nominating and Corporate Governance Committee) conducts a rigorous evaluation to help determine whether the Board and its committees are functioning effectively. In 2023, this effort included the engagement of an independent third-party evaluation firm to augment the Board’s annual evaluation and succession planning processes. The self-evaluation process solicits input from individual directors and provides an opportunity for directors to identify areas for improvement. Improvement areas may include the need for new skills and experiences, which helps guide the Board’s direction for specific skills, attributes and experiences needed to effectuate the Company’s strategy. </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The Board values diversity of talents, skills, abilities and experiences and believes Board diversity of all types provides significant benefits to the Company. Our Corporate Governance Guidelines state that directors will be selected in the context of assessing the Board’s needs at the time and with the objective of ensuring diversity in the background, experience, and viewpoints of Board members. To assist in promoting diversity, the Board actively seeks and includes women and minority candidates in the pool of nominees when selecting new director candidates.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Nominating and Corporate Governance Committee considers unsolicited inquiries and director candidates recommended by stockholders in the same manner as candidates from all other sources. Recommendations should be sent to the Corporate Secretary at 4646 E. Van Buren Street, Suite 400, Phoenix, Arizona 85008.</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Delinquent Section 16(a) Reports</w:t>
      </w:r>
    </w:p>
    <w:p>
      <w:pPr>
        <w:pStyle w:val="TextBody"/>
        <w:bidi w:val="0"/>
        <w:spacing w:lineRule="auto" w:line="288" w:before="0" w:after="120"/>
        <w:jc w:val="both"/>
        <w:rPr/>
      </w:pPr>
      <w:r>
        <w:rPr>
          <w:rFonts w:ascii="Arial;sans-serif" w:hAnsi="Arial;sans-serif"/>
          <w:b w:val="false"/>
          <w:color w:val="000000"/>
          <w:sz w:val="18"/>
        </w:rPr>
        <w:t>Based solely on a review of the reports filed for fiscal year ended December 31, 2023 and related written representations from reporting persons, we are not aware of any late or delinquent filings under Section 16(a) of the Securities Exchange Act of 1934.</w:t>
      </w:r>
      <w:r>
        <w:rPr>
          <w:color w:val="000000"/>
        </w:rPr>
        <w:t xml:space="preserve"> </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132"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hanging="2160"/>
        <w:jc w:val="left"/>
        <w:rPr>
          <w:rFonts w:ascii="Arial;sans-serif" w:hAnsi="Arial;sans-serif"/>
          <w:b/>
          <w:color w:val="000000"/>
          <w:sz w:val="44"/>
        </w:rPr>
      </w:pPr>
      <w:r>
        <w:rPr>
          <w:rFonts w:ascii="Arial;sans-serif" w:hAnsi="Arial;sans-serif"/>
          <w:b/>
          <w:color w:val="000000"/>
          <w:sz w:val="44"/>
        </w:rPr>
        <w:t>ITEM 11.    Executive Compensation</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Director Compensation</w:t>
      </w:r>
    </w:p>
    <w:p>
      <w:pPr>
        <w:pStyle w:val="TextBody"/>
        <w:bidi w:val="0"/>
        <w:spacing w:lineRule="auto" w:line="288" w:before="0" w:after="60"/>
        <w:jc w:val="both"/>
        <w:rPr/>
      </w:pPr>
      <w:r>
        <w:rPr>
          <w:rFonts w:ascii="Arial;sans-serif" w:hAnsi="Arial;sans-serif"/>
          <w:b w:val="false"/>
          <w:color w:val="000000"/>
          <w:sz w:val="18"/>
        </w:rPr>
        <w:t>Our director compensation program is designed to compensate non-executive directors fairly for their service and to align their interests with the long-term interests of our stockholders. Every other year, the Compensation Committee reviews the compensation level of our non-executive directors and makes recommendations to the Board. In 2022, the Committee engaged independent compensation consultant Pay Governance to evaluate the compensation program relative to the director compensation programs of our executive compensation peer group. Pay Governance found that our non-executive director annual retainer was below the peer group median, while other elements of pay (e.g., committee membership, and Board and committee leadership) are generally positioned between the 50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and 75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percentiles. Pay Governance advised that they expect increases in director pay, at median, of 3% to 5% for companies looking to maintain their competitive positioning. As a result, for 2023, Pay Governance recommended, and the Nominating and Corporate Governance Committee concurred and approved, an increase in our annual retainer to position our compensation at the 50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 of our peer group. In 2023, the annual compensation package for non-executive directors consisted of the following.</w:t>
      </w:r>
    </w:p>
    <w:tbl>
      <w:tblPr>
        <w:tblW w:w="7482" w:type="dxa"/>
        <w:jc w:val="left"/>
        <w:tblInd w:w="0" w:type="dxa"/>
        <w:tblLayout w:type="fixed"/>
        <w:tblCellMar>
          <w:top w:w="28" w:type="dxa"/>
          <w:left w:w="28" w:type="dxa"/>
          <w:bottom w:w="28" w:type="dxa"/>
          <w:right w:w="28" w:type="dxa"/>
        </w:tblCellMar>
      </w:tblPr>
      <w:tblGrid>
        <w:gridCol w:w="2071"/>
        <w:gridCol w:w="1821"/>
        <w:gridCol w:w="1838"/>
        <w:gridCol w:w="109"/>
        <w:gridCol w:w="109"/>
        <w:gridCol w:w="109"/>
        <w:gridCol w:w="418"/>
        <w:gridCol w:w="418"/>
        <w:gridCol w:w="589"/>
      </w:tblGrid>
      <w:tr>
        <w:trPr/>
        <w:tc>
          <w:tcPr>
            <w:tcW w:w="2071"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1D2758" w:val="clear"/>
            <w:tcMar>
              <w:top w:w="0" w:type="dxa"/>
              <w:left w:w="0" w:type="dxa"/>
              <w:bottom w:w="0" w:type="dxa"/>
              <w:right w:w="0" w:type="dxa"/>
            </w:tcMar>
            <w:vAlign w:val="center"/>
          </w:tcPr>
          <w:p>
            <w:pPr>
              <w:pStyle w:val="TableContents"/>
              <w:bidi w:val="0"/>
              <w:spacing w:lineRule="auto" w:line="240" w:before="53" w:after="30"/>
              <w:jc w:val="left"/>
              <w:rPr>
                <w:rFonts w:ascii="Arial;sans-serif" w:hAnsi="Arial;sans-serif"/>
                <w:b/>
                <w:color w:val="FFFFFF"/>
                <w:sz w:val="18"/>
              </w:rPr>
            </w:pPr>
            <w:r>
              <w:rPr>
                <w:rFonts w:ascii="Arial;sans-serif" w:hAnsi="Arial;sans-serif"/>
                <w:b/>
                <w:color w:val="FFFFFF"/>
                <w:sz w:val="18"/>
              </w:rPr>
              <w:t>2023-Type of Fee</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Amount ($)</w:t>
            </w:r>
          </w:p>
        </w:tc>
      </w:tr>
      <w:tr>
        <w:trPr/>
        <w:tc>
          <w:tcPr>
            <w:tcW w:w="5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Retainers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8"/>
              </w:rPr>
            </w:pPr>
            <w:r>
              <w:rPr>
                <w:rFonts w:ascii="Arial;sans-serif" w:hAnsi="Arial;sans-serif"/>
                <w:b w:val="false"/>
                <w:color w:val="000000"/>
                <w:sz w:val="18"/>
              </w:rPr>
              <w:t>Non-Executive Chair Cash</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both"/>
              <w:rPr>
                <w:rFonts w:ascii="Arial;sans-serif" w:hAnsi="Arial;sans-serif"/>
                <w:b w:val="false"/>
                <w:color w:val="000000"/>
                <w:sz w:val="18"/>
              </w:rPr>
            </w:pPr>
            <w:r>
              <w:rPr>
                <w:rFonts w:ascii="Arial;sans-serif" w:hAnsi="Arial;sans-serif"/>
                <w:b w:val="false"/>
                <w:color w:val="000000"/>
                <w:sz w:val="18"/>
              </w:rPr>
              <w:t>$</w:t>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w:t>
            </w:r>
          </w:p>
        </w:tc>
      </w:tr>
      <w:tr>
        <w:trPr/>
        <w:tc>
          <w:tcPr>
            <w:tcW w:w="5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8"/>
              </w:rPr>
            </w:pPr>
            <w:r>
              <w:rPr>
                <w:rFonts w:ascii="Arial;sans-serif" w:hAnsi="Arial;sans-serif"/>
                <w:b w:val="false"/>
                <w:color w:val="000000"/>
                <w:sz w:val="18"/>
              </w:rPr>
              <w:t>Non-Executive Chair Restricted Stock (one year vesting)</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both"/>
              <w:rPr>
                <w:rFonts w:ascii="Arial;sans-serif" w:hAnsi="Arial;sans-serif"/>
                <w:b w:val="false"/>
                <w:color w:val="000000"/>
                <w:sz w:val="18"/>
              </w:rPr>
            </w:pPr>
            <w:r>
              <w:rPr>
                <w:rFonts w:ascii="Arial;sans-serif" w:hAnsi="Arial;sans-serif"/>
                <w:b w:val="false"/>
                <w:color w:val="000000"/>
                <w:sz w:val="18"/>
              </w:rPr>
              <w:t>$</w:t>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185,000</w:t>
            </w:r>
          </w:p>
        </w:tc>
      </w:tr>
      <w:tr>
        <w:trPr/>
        <w:tc>
          <w:tcPr>
            <w:tcW w:w="5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8"/>
              </w:rPr>
            </w:pPr>
            <w:r>
              <w:rPr>
                <w:rFonts w:ascii="Arial;sans-serif" w:hAnsi="Arial;sans-serif"/>
                <w:b w:val="false"/>
                <w:color w:val="000000"/>
                <w:sz w:val="18"/>
              </w:rPr>
              <w:t>Lead Independent Director Cash</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both"/>
              <w:rPr>
                <w:rFonts w:ascii="Arial;sans-serif" w:hAnsi="Arial;sans-serif"/>
                <w:b w:val="false"/>
                <w:color w:val="000000"/>
                <w:sz w:val="18"/>
              </w:rPr>
            </w:pPr>
            <w:r>
              <w:rPr>
                <w:rFonts w:ascii="Arial;sans-serif" w:hAnsi="Arial;sans-serif"/>
                <w:b w:val="false"/>
                <w:color w:val="000000"/>
                <w:sz w:val="18"/>
              </w:rPr>
              <w:t>$</w:t>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105,000</w:t>
            </w:r>
          </w:p>
        </w:tc>
      </w:tr>
      <w:tr>
        <w:trPr/>
        <w:tc>
          <w:tcPr>
            <w:tcW w:w="5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8"/>
              </w:rPr>
            </w:pPr>
            <w:r>
              <w:rPr>
                <w:rFonts w:ascii="Arial;sans-serif" w:hAnsi="Arial;sans-serif"/>
                <w:b w:val="false"/>
                <w:color w:val="000000"/>
                <w:sz w:val="18"/>
              </w:rPr>
              <w:t>Lead Independent Director Stock (one year vesting)</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both"/>
              <w:rPr>
                <w:rFonts w:ascii="Arial;sans-serif" w:hAnsi="Arial;sans-serif"/>
                <w:b w:val="false"/>
                <w:color w:val="000000"/>
                <w:sz w:val="18"/>
              </w:rPr>
            </w:pPr>
            <w:r>
              <w:rPr>
                <w:rFonts w:ascii="Arial;sans-serif" w:hAnsi="Arial;sans-serif"/>
                <w:b w:val="false"/>
                <w:color w:val="000000"/>
                <w:sz w:val="18"/>
              </w:rPr>
              <w:t>$</w:t>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w:t>
            </w:r>
          </w:p>
        </w:tc>
      </w:tr>
      <w:tr>
        <w:trPr/>
        <w:tc>
          <w:tcPr>
            <w:tcW w:w="5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8"/>
              </w:rPr>
            </w:pPr>
            <w:r>
              <w:rPr>
                <w:rFonts w:ascii="Arial;sans-serif" w:hAnsi="Arial;sans-serif"/>
                <w:b w:val="false"/>
                <w:color w:val="000000"/>
                <w:sz w:val="18"/>
              </w:rPr>
              <w:t>All Other Non-Executive Directors Cash</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both"/>
              <w:rPr>
                <w:rFonts w:ascii="Arial;sans-serif" w:hAnsi="Arial;sans-serif"/>
                <w:b w:val="false"/>
                <w:color w:val="000000"/>
                <w:sz w:val="18"/>
              </w:rPr>
            </w:pPr>
            <w:r>
              <w:rPr>
                <w:rFonts w:ascii="Arial;sans-serif" w:hAnsi="Arial;sans-serif"/>
                <w:b w:val="false"/>
                <w:color w:val="000000"/>
                <w:sz w:val="18"/>
              </w:rPr>
              <w:t>$</w:t>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80,000</w:t>
            </w:r>
          </w:p>
        </w:tc>
      </w:tr>
      <w:tr>
        <w:trPr/>
        <w:tc>
          <w:tcPr>
            <w:tcW w:w="5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8"/>
              </w:rPr>
            </w:pPr>
            <w:r>
              <w:rPr>
                <w:rFonts w:ascii="Arial;sans-serif" w:hAnsi="Arial;sans-serif"/>
                <w:b w:val="false"/>
                <w:color w:val="000000"/>
                <w:sz w:val="18"/>
              </w:rPr>
              <w:t>All Other Non-Executive Directors Restricted Stock (one year vesting)</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both"/>
              <w:rPr>
                <w:rFonts w:ascii="Arial;sans-serif" w:hAnsi="Arial;sans-serif"/>
                <w:b w:val="false"/>
                <w:color w:val="000000"/>
                <w:sz w:val="18"/>
              </w:rPr>
            </w:pPr>
            <w:r>
              <w:rPr>
                <w:rFonts w:ascii="Arial;sans-serif" w:hAnsi="Arial;sans-serif"/>
                <w:b w:val="false"/>
                <w:color w:val="000000"/>
                <w:sz w:val="18"/>
              </w:rPr>
              <w:t>$</w:t>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w:t>
            </w:r>
          </w:p>
        </w:tc>
      </w:tr>
      <w:tr>
        <w:trPr/>
        <w:tc>
          <w:tcPr>
            <w:tcW w:w="57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Committee Chair / Member Cash Stipend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Audit Committee</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both"/>
              <w:rPr>
                <w:rFonts w:ascii="Arial;sans-serif" w:hAnsi="Arial;sans-serif"/>
                <w:b w:val="false"/>
                <w:color w:val="000000"/>
                <w:sz w:val="18"/>
              </w:rPr>
            </w:pPr>
            <w:r>
              <w:rPr>
                <w:rFonts w:ascii="Arial;sans-serif" w:hAnsi="Arial;sans-serif"/>
                <w:b w:val="false"/>
                <w:color w:val="000000"/>
                <w:sz w:val="18"/>
              </w:rPr>
              <w:t>$</w:t>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rFonts w:ascii="Arial;sans-serif" w:hAnsi="Arial;sans-serif"/>
                <w:b w:val="false"/>
                <w:color w:val="000000"/>
                <w:sz w:val="18"/>
              </w:rPr>
            </w:pPr>
            <w:r>
              <w:rPr>
                <w:rFonts w:ascii="Arial;sans-serif" w:hAnsi="Arial;sans-serif"/>
                <w:b w:val="false"/>
                <w:color w:val="000000"/>
                <w:sz w:val="18"/>
              </w:rPr>
              <w:t>30,000 / 10,000</w:t>
            </w:r>
          </w:p>
        </w:tc>
      </w:tr>
      <w:tr>
        <w:trPr/>
        <w:tc>
          <w:tcPr>
            <w:tcW w:w="5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Committee</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both"/>
              <w:rPr>
                <w:rFonts w:ascii="Arial;sans-serif" w:hAnsi="Arial;sans-serif"/>
                <w:b w:val="false"/>
                <w:color w:val="000000"/>
                <w:sz w:val="18"/>
              </w:rPr>
            </w:pPr>
            <w:r>
              <w:rPr>
                <w:rFonts w:ascii="Arial;sans-serif" w:hAnsi="Arial;sans-serif"/>
                <w:b w:val="false"/>
                <w:color w:val="000000"/>
                <w:sz w:val="18"/>
              </w:rPr>
              <w:t>$</w:t>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rFonts w:ascii="Arial;sans-serif" w:hAnsi="Arial;sans-serif"/>
                <w:b w:val="false"/>
                <w:color w:val="000000"/>
                <w:sz w:val="18"/>
              </w:rPr>
            </w:pPr>
            <w:r>
              <w:rPr>
                <w:rFonts w:ascii="Arial;sans-serif" w:hAnsi="Arial;sans-serif"/>
                <w:b w:val="false"/>
                <w:color w:val="000000"/>
                <w:sz w:val="18"/>
              </w:rPr>
              <w:t>22,500 / 7,500</w:t>
            </w:r>
          </w:p>
        </w:tc>
      </w:tr>
      <w:tr>
        <w:trPr/>
        <w:tc>
          <w:tcPr>
            <w:tcW w:w="57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Nominating and Corporate Governance Committee</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3" w:after="30"/>
              <w:jc w:val="both"/>
              <w:rPr>
                <w:rFonts w:ascii="Arial;sans-serif" w:hAnsi="Arial;sans-serif"/>
                <w:b w:val="false"/>
                <w:color w:val="000000"/>
                <w:sz w:val="18"/>
              </w:rPr>
            </w:pPr>
            <w:r>
              <w:rPr>
                <w:rFonts w:ascii="Arial;sans-serif" w:hAnsi="Arial;sans-serif"/>
                <w:b w:val="false"/>
                <w:color w:val="000000"/>
                <w:sz w:val="18"/>
              </w:rPr>
              <w:t>$</w:t>
            </w:r>
          </w:p>
        </w:tc>
        <w:tc>
          <w:tcPr>
            <w:tcW w:w="14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rFonts w:ascii="Arial;sans-serif" w:hAnsi="Arial;sans-serif"/>
                <w:b w:val="false"/>
                <w:color w:val="000000"/>
                <w:sz w:val="18"/>
              </w:rPr>
            </w:pPr>
            <w:r>
              <w:rPr>
                <w:rFonts w:ascii="Arial;sans-serif" w:hAnsi="Arial;sans-serif"/>
                <w:b w:val="false"/>
                <w:color w:val="000000"/>
                <w:sz w:val="18"/>
              </w:rPr>
              <w:t>15,000 / 6,000</w:t>
            </w:r>
          </w:p>
        </w:tc>
      </w:tr>
      <w:tr>
        <w:trPr/>
        <w:tc>
          <w:tcPr>
            <w:tcW w:w="57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Meeting fees</w:t>
            </w:r>
          </w:p>
        </w:tc>
        <w:tc>
          <w:tcPr>
            <w:tcW w:w="3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43" w:after="30"/>
              <w:jc w:val="both"/>
              <w:rPr>
                <w:rFonts w:ascii="Arial;sans-serif" w:hAnsi="Arial;sans-serif"/>
                <w:b w:val="false"/>
                <w:color w:val="000000"/>
                <w:sz w:val="18"/>
              </w:rPr>
            </w:pPr>
            <w:r>
              <w:rPr>
                <w:rFonts w:ascii="Arial;sans-serif" w:hAnsi="Arial;sans-serif"/>
                <w:b w:val="false"/>
                <w:color w:val="000000"/>
                <w:sz w:val="18"/>
              </w:rPr>
              <w:t>$</w:t>
            </w:r>
          </w:p>
        </w:tc>
        <w:tc>
          <w:tcPr>
            <w:tcW w:w="142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2023 Non-Employee Director Compensation Table</w:t>
      </w:r>
    </w:p>
    <w:p>
      <w:pPr>
        <w:pStyle w:val="TextBody"/>
        <w:bidi w:val="0"/>
        <w:spacing w:lineRule="auto" w:line="288" w:before="0" w:after="60"/>
        <w:jc w:val="both"/>
        <w:rPr/>
      </w:pPr>
      <w:r>
        <w:rPr>
          <w:rFonts w:ascii="Arial;sans-serif" w:hAnsi="Arial;sans-serif"/>
          <w:b w:val="false"/>
          <w:color w:val="000000"/>
          <w:sz w:val="18"/>
        </w:rPr>
        <w:t>The table below summarizes the compensation paid to our non-employee directors for the year ended December 31, 2023. Mr. Soultz is a member of the Board but does not receive any additional compensation for services provided as a director.</w:t>
      </w:r>
      <w:r>
        <w:rPr>
          <w:color w:val="000000"/>
        </w:rPr>
        <w:t xml:space="preserve"> </w:t>
      </w:r>
    </w:p>
    <w:tbl>
      <w:tblPr>
        <w:tblW w:w="7879" w:type="dxa"/>
        <w:jc w:val="left"/>
        <w:tblInd w:w="0" w:type="dxa"/>
        <w:tblLayout w:type="fixed"/>
        <w:tblCellMar>
          <w:top w:w="28" w:type="dxa"/>
          <w:left w:w="28" w:type="dxa"/>
          <w:bottom w:w="28" w:type="dxa"/>
          <w:right w:w="28" w:type="dxa"/>
        </w:tblCellMar>
      </w:tblPr>
      <w:tblGrid>
        <w:gridCol w:w="733"/>
        <w:gridCol w:w="643"/>
        <w:gridCol w:w="648"/>
        <w:gridCol w:w="541"/>
        <w:gridCol w:w="2119"/>
        <w:gridCol w:w="279"/>
        <w:gridCol w:w="317"/>
        <w:gridCol w:w="1244"/>
        <w:gridCol w:w="164"/>
        <w:gridCol w:w="211"/>
        <w:gridCol w:w="82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Director Name</w:t>
            </w:r>
          </w:p>
        </w:tc>
        <w:tc>
          <w:tcPr>
            <w:tcW w:w="2939"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43" w:after="30"/>
              <w:jc w:val="center"/>
              <w:rPr/>
            </w:pPr>
            <w:r>
              <w:rPr>
                <w:rFonts w:ascii="Arial;sans-serif" w:hAnsi="Arial;sans-serif"/>
                <w:b/>
                <w:color w:val="FFFFFF"/>
                <w:sz w:val="18"/>
              </w:rPr>
              <w:t>Fees Earned or Paid in Cash ($)</w:t>
            </w:r>
            <w:r>
              <w:rPr>
                <w:rFonts w:ascii="Arial;sans-serif" w:hAnsi="Arial;sans-serif"/>
                <w:b/>
                <w:color w:val="FFFFFF"/>
                <w:sz w:val="12"/>
              </w:rPr>
              <w:t>(1)</w:t>
            </w:r>
          </w:p>
        </w:tc>
        <w:tc>
          <w:tcPr>
            <w:tcW w:w="1725"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43" w:after="30"/>
              <w:jc w:val="center"/>
              <w:rPr/>
            </w:pPr>
            <w:r>
              <w:rPr>
                <w:rFonts w:ascii="Arial;sans-serif" w:hAnsi="Arial;sans-serif"/>
                <w:b/>
                <w:color w:val="FFFFFF"/>
                <w:sz w:val="18"/>
              </w:rPr>
              <w:t>Stock Awards ($)</w:t>
            </w:r>
            <w:r>
              <w:rPr>
                <w:rFonts w:ascii="Arial;sans-serif" w:hAnsi="Arial;sans-serif"/>
                <w:b/>
                <w:color w:val="FFFFFF"/>
                <w:sz w:val="12"/>
              </w:rPr>
              <w:t>(2)</w:t>
            </w:r>
          </w:p>
        </w:tc>
        <w:tc>
          <w:tcPr>
            <w:tcW w:w="1191"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Total ($)</w:t>
            </w:r>
          </w:p>
        </w:tc>
      </w:tr>
      <w:tr>
        <w:trPr/>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 S. Bartlett</w:t>
            </w:r>
          </w:p>
        </w:tc>
        <w:tc>
          <w:tcPr>
            <w:tcW w:w="5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117,500 </w:t>
            </w:r>
          </w:p>
        </w:tc>
        <w:tc>
          <w:tcPr>
            <w:tcW w:w="2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pPr>
            <w:r>
              <w:rPr>
                <w:rFonts w:ascii="Arial;sans-serif" w:hAnsi="Arial;sans-serif"/>
                <w:b w:val="false"/>
                <w:color w:val="000000"/>
                <w:sz w:val="18"/>
              </w:rPr>
              <w:t>Sara R. Dial</w:t>
            </w:r>
            <w:r>
              <w:rPr>
                <w:rFonts w:ascii="Arial;sans-serif" w:hAnsi="Arial;sans-serif"/>
                <w:b w:val="false"/>
                <w:color w:val="000000"/>
                <w:sz w:val="12"/>
              </w:rPr>
              <w:t>(3)</w:t>
            </w:r>
          </w:p>
        </w:tc>
        <w:tc>
          <w:tcPr>
            <w:tcW w:w="5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pPr>
            <w:r>
              <w:rPr>
                <w:rFonts w:ascii="Arial;sans-serif" w:hAnsi="Arial;sans-serif"/>
                <w:b w:val="false"/>
                <w:color w:val="000000"/>
                <w:sz w:val="18"/>
              </w:rPr>
              <w:t>Jeffrey S. Goble</w:t>
            </w:r>
            <w:r>
              <w:rPr>
                <w:rFonts w:ascii="Arial;sans-serif" w:hAnsi="Arial;sans-serif"/>
                <w:b w:val="false"/>
                <w:color w:val="000000"/>
                <w:sz w:val="12"/>
              </w:rPr>
              <w:t>(3)</w:t>
            </w:r>
          </w:p>
        </w:tc>
        <w:tc>
          <w:tcPr>
            <w:tcW w:w="5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Gerard E. Holthaus</w:t>
            </w:r>
          </w:p>
        </w:tc>
        <w:tc>
          <w:tcPr>
            <w:tcW w:w="5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130,000 </w:t>
            </w:r>
          </w:p>
        </w:tc>
        <w:tc>
          <w:tcPr>
            <w:tcW w:w="2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pPr>
            <w:r>
              <w:rPr>
                <w:rFonts w:ascii="Arial;sans-serif" w:hAnsi="Arial;sans-serif"/>
                <w:b w:val="false"/>
                <w:color w:val="000000"/>
                <w:sz w:val="18"/>
              </w:rPr>
              <w:t>Natalia Johnson</w:t>
            </w:r>
            <w:r>
              <w:rPr>
                <w:rFonts w:ascii="Arial;sans-serif" w:hAnsi="Arial;sans-serif"/>
                <w:b w:val="false"/>
                <w:color w:val="000000"/>
                <w:sz w:val="12"/>
              </w:rPr>
              <w:t>(4)</w:t>
            </w:r>
          </w:p>
        </w:tc>
        <w:tc>
          <w:tcPr>
            <w:tcW w:w="5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60,000 </w:t>
            </w:r>
          </w:p>
        </w:tc>
        <w:tc>
          <w:tcPr>
            <w:tcW w:w="2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pPr>
            <w:r>
              <w:rPr>
                <w:rFonts w:ascii="Arial;sans-serif" w:hAnsi="Arial;sans-serif"/>
                <w:b w:val="false"/>
                <w:color w:val="000000"/>
                <w:sz w:val="18"/>
              </w:rPr>
              <w:t>Kimberly J. McWaters</w:t>
            </w:r>
            <w:r>
              <w:rPr>
                <w:rFonts w:ascii="Arial;sans-serif" w:hAnsi="Arial;sans-serif"/>
                <w:b w:val="false"/>
                <w:color w:val="000000"/>
                <w:sz w:val="12"/>
              </w:rPr>
              <w:t>(3)</w:t>
            </w:r>
          </w:p>
        </w:tc>
        <w:tc>
          <w:tcPr>
            <w:tcW w:w="5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Erik Olsson</w:t>
            </w:r>
          </w:p>
        </w:tc>
        <w:tc>
          <w:tcPr>
            <w:tcW w:w="5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2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185,000 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Rebecca L. Owen</w:t>
            </w:r>
          </w:p>
        </w:tc>
        <w:tc>
          <w:tcPr>
            <w:tcW w:w="5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86,000 </w:t>
            </w:r>
          </w:p>
        </w:tc>
        <w:tc>
          <w:tcPr>
            <w:tcW w:w="2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Sagansky</w:t>
            </w:r>
          </w:p>
        </w:tc>
        <w:tc>
          <w:tcPr>
            <w:tcW w:w="5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108,500 </w:t>
            </w:r>
          </w:p>
        </w:tc>
        <w:tc>
          <w:tcPr>
            <w:tcW w:w="2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258,500 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W. Upchurch</w:t>
            </w:r>
          </w:p>
        </w:tc>
        <w:tc>
          <w:tcPr>
            <w:tcW w:w="5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90,000 </w:t>
            </w:r>
          </w:p>
        </w:tc>
        <w:tc>
          <w:tcPr>
            <w:tcW w:w="27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43" w:after="30"/>
              <w:jc w:val="left"/>
              <w:rPr>
                <w:rFonts w:ascii="Arial;sans-serif" w:hAnsi="Arial;sans-serif"/>
                <w:b w:val="false"/>
                <w:color w:val="000000"/>
                <w:sz w:val="18"/>
              </w:rPr>
            </w:pPr>
            <w:r>
              <w:rPr>
                <w:rFonts w:ascii="Arial;sans-serif" w:hAnsi="Arial;sans-serif"/>
                <w:b w:val="false"/>
                <w:color w:val="000000"/>
                <w:sz w:val="18"/>
              </w:rPr>
              <w:t>Erika T. Davis</w:t>
            </w:r>
          </w:p>
        </w:tc>
        <w:tc>
          <w:tcPr>
            <w:tcW w:w="54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11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87,500 </w:t>
            </w:r>
          </w:p>
        </w:tc>
        <w:tc>
          <w:tcPr>
            <w:tcW w:w="27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150,000 </w:t>
            </w:r>
          </w:p>
        </w:tc>
        <w:tc>
          <w:tcPr>
            <w:tcW w:w="16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237,500 </w:t>
            </w:r>
          </w:p>
        </w:tc>
        <w:tc>
          <w:tcPr>
            <w:tcW w:w="15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(1) The amounts in this column represent annual cash retainers and fees paid during 2023.</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(2) The amounts reflected in this column represent the aggregate grant date fair value of the restricted stock awards computed in accordance with Accounting Standards Codification Topic 718 (“ASC 718”). The grant date fair value of the stock awards under ASC 718 is calculated based on the number of shares of our Common Stock underlying the award, multiplied by the closing price of a share of our Common Stock on the date of grant. Furthermore, non-employee directors must retain their equity grants for 12 months before their equity grants will vest.</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(3) Ms. Dial, Mr. Goble and Ms. McWaters ceased serving on the Board at the conclusion of the 2023 annual meeting.</w:t>
      </w:r>
    </w:p>
    <w:p>
      <w:pPr>
        <w:pStyle w:val="TextBody"/>
        <w:bidi w:val="0"/>
        <w:spacing w:lineRule="auto" w:line="288" w:before="0" w:after="240"/>
        <w:jc w:val="both"/>
        <w:rPr>
          <w:rFonts w:ascii="Arial;sans-serif" w:hAnsi="Arial;sans-serif"/>
          <w:b w:val="false"/>
          <w:i/>
          <w:color w:val="000000"/>
          <w:sz w:val="16"/>
        </w:rPr>
      </w:pPr>
      <w:r>
        <w:rPr>
          <w:rFonts w:ascii="Arial;sans-serif" w:hAnsi="Arial;sans-serif"/>
          <w:b w:val="false"/>
          <w:i/>
          <w:color w:val="000000"/>
          <w:sz w:val="16"/>
        </w:rPr>
        <w:t>(4) Ms. Johnson was appointed to the Board in August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605" cy="14605"/>
                <wp:effectExtent l="0" t="0" r="0" b="0"/>
                <wp:wrapNone/>
                <wp:docPr id="133" name="Frame11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aggregate number of shares of restricted stock issued as director compensation that were outstanding and unvested as of December 31, 2023 held by each non-employee director (in their capacity as non-employee directors) was as follows:</w:t>
      </w:r>
    </w:p>
    <w:tbl>
      <w:tblPr>
        <w:tblW w:w="8309" w:type="dxa"/>
        <w:jc w:val="left"/>
        <w:tblInd w:w="0" w:type="dxa"/>
        <w:tblLayout w:type="fixed"/>
        <w:tblCellMar>
          <w:top w:w="28" w:type="dxa"/>
          <w:left w:w="28" w:type="dxa"/>
          <w:bottom w:w="28" w:type="dxa"/>
          <w:right w:w="28" w:type="dxa"/>
        </w:tblCellMar>
      </w:tblPr>
      <w:tblGrid>
        <w:gridCol w:w="673"/>
        <w:gridCol w:w="592"/>
        <w:gridCol w:w="594"/>
        <w:gridCol w:w="1884"/>
        <w:gridCol w:w="1884"/>
        <w:gridCol w:w="2682"/>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Director</w:t>
            </w:r>
          </w:p>
        </w:tc>
        <w:tc>
          <w:tcPr>
            <w:tcW w:w="6450"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 of Restricted Stock Unvested as of December 31, 2023</w:t>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 S. Bartlett</w:t>
            </w:r>
          </w:p>
        </w:tc>
        <w:tc>
          <w:tcPr>
            <w:tcW w:w="64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w:t>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Erika T. Davis</w:t>
            </w:r>
          </w:p>
        </w:tc>
        <w:tc>
          <w:tcPr>
            <w:tcW w:w="64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w:t>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Gerard E. Holthaus</w:t>
            </w:r>
          </w:p>
        </w:tc>
        <w:tc>
          <w:tcPr>
            <w:tcW w:w="64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w:t>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Natalia Johnson</w:t>
            </w:r>
          </w:p>
        </w:tc>
        <w:tc>
          <w:tcPr>
            <w:tcW w:w="64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3,463</w:t>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Erik Olsson</w:t>
            </w:r>
          </w:p>
        </w:tc>
        <w:tc>
          <w:tcPr>
            <w:tcW w:w="64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4,345</w:t>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Rebecca L. Owen</w:t>
            </w:r>
          </w:p>
        </w:tc>
        <w:tc>
          <w:tcPr>
            <w:tcW w:w="64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w:t>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Sagansky</w:t>
            </w:r>
          </w:p>
        </w:tc>
        <w:tc>
          <w:tcPr>
            <w:tcW w:w="64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w:t>
            </w:r>
          </w:p>
        </w:tc>
      </w:tr>
      <w:tr>
        <w:trPr/>
        <w:tc>
          <w:tcPr>
            <w:tcW w:w="185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W. Upchurch</w:t>
            </w:r>
          </w:p>
        </w:tc>
        <w:tc>
          <w:tcPr>
            <w:tcW w:w="645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w:t>
            </w:r>
          </w:p>
        </w:tc>
      </w:tr>
    </w:tbl>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 xml:space="preserve">Executive Compensation </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Compensation Discussion and Analysis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This Compensation Discussion and Analysis, or "CD&amp;A," section describes the material elements of our executive officer compensation program and policies for 2023, and the principles and objectives of our decisions with respect to 2023 compensation for our named executive officers.</w:t>
      </w:r>
    </w:p>
    <w:p>
      <w:pPr>
        <w:pStyle w:val="TextBody"/>
        <w:bidi w:val="0"/>
        <w:spacing w:lineRule="auto" w:line="288" w:before="0" w:after="60"/>
        <w:jc w:val="left"/>
        <w:rPr>
          <w:rFonts w:ascii="Arial;sans-serif" w:hAnsi="Arial;sans-serif"/>
          <w:b/>
          <w:i/>
          <w:color w:val="1D2758"/>
          <w:sz w:val="18"/>
        </w:rPr>
      </w:pPr>
      <w:r>
        <w:rPr>
          <w:rFonts w:ascii="Arial;sans-serif" w:hAnsi="Arial;sans-serif"/>
          <w:b/>
          <w:i/>
          <w:color w:val="1D2758"/>
          <w:sz w:val="18"/>
        </w:rPr>
        <w:t>Executive Officers Covered by this Compensation Discussion and Analysis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In this CD&amp;A, we provide information regarding our compensation policies and decisions relating to our Chief Executive Officer (“CEO”), President and Chief Financial Officer (“CFO”), Executive Vice President – Chief Legal &amp; Compliance Officer &amp; ESG (“CLO”), Executive Vice President – Chief Human Resources Officer (“CHRO”), Executive Vice President – Chief Information Officer (“CIO”) and Senior Vice President – Chief Accounting Officer (“CAO”). We refer to these executive officers as our “named executive officers” (“NEOs”). We intend this CD&amp;A to provide information regarding, among other things, the overall objectives of our compensation program and each element of compensation that we provided to the NEOs.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The named executive officers for 2023 and their titles are listed in the following table:</w:t>
      </w:r>
    </w:p>
    <w:tbl>
      <w:tblPr>
        <w:tblW w:w="8340" w:type="dxa"/>
        <w:jc w:val="left"/>
        <w:tblInd w:w="0" w:type="dxa"/>
        <w:tblLayout w:type="fixed"/>
        <w:tblCellMar>
          <w:top w:w="28" w:type="dxa"/>
          <w:left w:w="28" w:type="dxa"/>
          <w:bottom w:w="28" w:type="dxa"/>
          <w:right w:w="28" w:type="dxa"/>
        </w:tblCellMar>
      </w:tblPr>
      <w:tblGrid>
        <w:gridCol w:w="606"/>
        <w:gridCol w:w="534"/>
        <w:gridCol w:w="539"/>
        <w:gridCol w:w="150"/>
        <w:gridCol w:w="150"/>
        <w:gridCol w:w="151"/>
        <w:gridCol w:w="1805"/>
        <w:gridCol w:w="1805"/>
        <w:gridCol w:w="2600"/>
      </w:tblGrid>
      <w:tr>
        <w:trPr/>
        <w:tc>
          <w:tcPr>
            <w:tcW w:w="60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w:t>
            </w:r>
          </w:p>
        </w:tc>
        <w:tc>
          <w:tcPr>
            <w:tcW w:w="451"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Age</w:t>
            </w:r>
          </w:p>
        </w:tc>
        <w:tc>
          <w:tcPr>
            <w:tcW w:w="6210"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Title</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Bradley L. Soultz</w:t>
            </w:r>
          </w:p>
        </w:tc>
        <w:tc>
          <w:tcPr>
            <w:tcW w:w="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54</w:t>
            </w:r>
          </w:p>
        </w:tc>
        <w:tc>
          <w:tcPr>
            <w:tcW w:w="6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(CEO)</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D. Boswell</w:t>
            </w:r>
          </w:p>
        </w:tc>
        <w:tc>
          <w:tcPr>
            <w:tcW w:w="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45</w:t>
            </w:r>
          </w:p>
        </w:tc>
        <w:tc>
          <w:tcPr>
            <w:tcW w:w="6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Financial Officer (CFO)</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Hezron T. Lopez</w:t>
            </w:r>
          </w:p>
        </w:tc>
        <w:tc>
          <w:tcPr>
            <w:tcW w:w="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52</w:t>
            </w:r>
          </w:p>
        </w:tc>
        <w:tc>
          <w:tcPr>
            <w:tcW w:w="6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Vice President – Chief Legal &amp; Compliance Officer &amp; ESG (CLO)</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Felicia K. Gorcyca</w:t>
            </w:r>
          </w:p>
        </w:tc>
        <w:tc>
          <w:tcPr>
            <w:tcW w:w="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45</w:t>
            </w:r>
          </w:p>
        </w:tc>
        <w:tc>
          <w:tcPr>
            <w:tcW w:w="6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Executive Vice President – Chief Human Resources Officer (CHRO)</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Graeme Parkes</w:t>
            </w:r>
          </w:p>
        </w:tc>
        <w:tc>
          <w:tcPr>
            <w:tcW w:w="4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51</w:t>
            </w:r>
          </w:p>
        </w:tc>
        <w:tc>
          <w:tcPr>
            <w:tcW w:w="62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Executive Vice President – Chief Information Officer (CIO)</w:t>
            </w:r>
          </w:p>
        </w:tc>
      </w:tr>
      <w:tr>
        <w:trPr/>
        <w:tc>
          <w:tcPr>
            <w:tcW w:w="167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Sally J. Shanks</w:t>
            </w:r>
          </w:p>
        </w:tc>
        <w:tc>
          <w:tcPr>
            <w:tcW w:w="4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47</w:t>
            </w:r>
          </w:p>
        </w:tc>
        <w:tc>
          <w:tcPr>
            <w:tcW w:w="621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Senior Vice President – Chief Accounting Officer (CAO)</w:t>
            </w:r>
          </w:p>
        </w:tc>
      </w:tr>
    </w:tbl>
    <w:p>
      <w:pPr>
        <w:pStyle w:val="TextBody"/>
        <w:bidi w:val="0"/>
        <w:spacing w:lineRule="auto" w:line="288" w:before="0" w:after="60"/>
        <w:jc w:val="left"/>
        <w:rPr>
          <w:rFonts w:ascii="Arial;sans-serif" w:hAnsi="Arial;sans-serif"/>
          <w:b/>
          <w:i/>
          <w:color w:val="1D2758"/>
          <w:sz w:val="18"/>
        </w:rPr>
      </w:pPr>
      <w:r>
        <w:rPr>
          <w:rFonts w:ascii="Arial;sans-serif" w:hAnsi="Arial;sans-serif"/>
          <w:b/>
          <w:i/>
          <w:color w:val="1D2758"/>
          <w:sz w:val="18"/>
        </w:rPr>
        <w:t>Our Executive Compensation Program</w:t>
      </w:r>
    </w:p>
    <w:p>
      <w:pPr>
        <w:pStyle w:val="TextBody"/>
        <w:bidi w:val="0"/>
        <w:spacing w:lineRule="auto" w:line="288" w:before="0" w:after="60"/>
        <w:jc w:val="both"/>
        <w:rPr/>
      </w:pPr>
      <w:r>
        <w:rPr>
          <w:rFonts w:ascii="Arial;sans-serif" w:hAnsi="Arial;sans-serif"/>
          <w:b w:val="false"/>
          <w:color w:val="000000"/>
          <w:sz w:val="18"/>
        </w:rPr>
        <w:t>We lease turnkey modular offices and portable storage units with furniture and appliances, or Value-Added Products, so that our customers are immediately productive, safe, and comfortable. We maximize value by safely and frugally growing lease revenue, driving units on rent, rate optimization, and Value-Added Products penetration to delight our customers, support our employees, and deliver outstanding returns to our stockholders. In 2023, WillScot Mobile Mini generated $2.36B of revenue, $1.06B of Adjusted EBITDA,</w:t>
      </w:r>
      <w:r>
        <w:rPr>
          <w:color w:val="000000"/>
        </w:rPr>
        <w:t xml:space="preserve"> </w:t>
      </w:r>
      <w:r>
        <w:rPr>
          <w:rFonts w:ascii="Arial;sans-serif" w:hAnsi="Arial;sans-serif"/>
          <w:b w:val="false"/>
          <w:color w:val="000000"/>
          <w:sz w:val="18"/>
        </w:rPr>
        <w:t>$341.8M of income from continuing operations, and $576.6M of Free Cash Flow representing growth relative to 2022 of 10.4%, 20.1%, 23.7%, and 74.5%, respectively.</w:t>
      </w:r>
      <w:r>
        <w:rPr>
          <w:rFonts w:ascii="Arial;sans-serif" w:hAnsi="Arial;sans-serif"/>
          <w:b w:val="false"/>
          <w:color w:val="000000"/>
          <w:sz w:val="12"/>
        </w:rPr>
        <w:t xml:space="preserve">(1) </w:t>
      </w:r>
      <w:r>
        <w:rPr>
          <w:rFonts w:ascii="Arial;sans-serif" w:hAnsi="Arial;sans-serif"/>
          <w:b w:val="false"/>
          <w:color w:val="000000"/>
          <w:sz w:val="18"/>
        </w:rPr>
        <w:t xml:space="preserve">We progressed every growth initiative that management previously described at our 2021 Investor Day, and we achieved one of our milestones of $1B of Adjusted EBITDA in 2023. </w:t>
      </w:r>
    </w:p>
    <w:p>
      <w:pPr>
        <w:pStyle w:val="TextBody"/>
        <w:bidi w:val="0"/>
        <w:spacing w:lineRule="auto" w:line="288" w:before="0" w:after="60"/>
        <w:jc w:val="both"/>
        <w:rPr>
          <w:rFonts w:ascii="Arial;sans-serif" w:hAnsi="Arial;sans-serif"/>
          <w:b w:val="false"/>
          <w:i/>
          <w:color w:val="000000"/>
          <w:sz w:val="16"/>
        </w:rPr>
      </w:pPr>
      <w:r>
        <w:rPr>
          <w:rFonts w:ascii="Arial;sans-serif" w:hAnsi="Arial;sans-serif"/>
          <w:b w:val="false"/>
          <w:i/>
          <w:color w:val="000000"/>
          <w:sz w:val="16"/>
        </w:rPr>
        <w:t>(1) All metrics presented from continuing operations. Adjusted EBITDA and Free Cash Flow are non-GAAP financial measures. For a discussion of our use of non-GAAP financial measures, please see the “Reconciliation of Non-GAAP Financial Measures” section in Item 7 of this Annual Report on Form 10-K.</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Our goal is to retain and attract experienced and talented executive officers and to motivate them to achieve our short-term and long-term financial, operational, and strategic objectives that produce and promote stockholder value. To achieve this goal, we strongly emphasize a culture of pay for performance to provide incentives and accountability for our executive officers in working toward the achievement of our objectives. Accordingly, we have designed our incentive compensation with the goal of ensuring that actual realized pay varies above, or below targeted compensation opportunity based on achievement of challenging performance goals and demonstration of meaningful individual commitment and contribution.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34"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115</w:t>
                      </w:r>
                    </w:p>
                  </w:txbxContent>
                </v:textbox>
                <w10:wrap type="none"/>
              </v:rect>
            </w:pict>
          </mc:Fallback>
        </mc:AlternateContent>
      </w:r>
    </w:p>
    <w:p>
      <w:pPr>
        <w:pStyle w:val="TextBody"/>
        <w:bidi w:val="0"/>
        <w:spacing w:before="0" w:after="60"/>
        <w:jc w:val="left"/>
        <w:rPr/>
      </w:pPr>
      <w:r>
        <w:rPr/>
      </w:r>
    </w:p>
    <w:p>
      <w:pPr>
        <w:pStyle w:val="TextBody"/>
        <w:bidi w:val="0"/>
        <w:spacing w:lineRule="auto" w:line="240" w:before="0" w:after="60"/>
        <w:jc w:val="both"/>
        <w:rPr>
          <w:rFonts w:ascii="Arial;sans-serif" w:hAnsi="Arial;sans-serif"/>
          <w:b w:val="false"/>
          <w:color w:val="000000"/>
          <w:sz w:val="18"/>
        </w:rPr>
      </w:pPr>
      <w:r>
        <w:rPr>
          <w:rFonts w:ascii="Arial;sans-serif" w:hAnsi="Arial;sans-serif"/>
          <w:b w:val="false"/>
          <w:color w:val="000000"/>
          <w:sz w:val="18"/>
        </w:rPr>
        <w:t>The table below outlines each of the principal elements of our executive compensation program:</w:t>
      </w:r>
    </w:p>
    <w:tbl>
      <w:tblPr>
        <w:tblW w:w="10205" w:type="dxa"/>
        <w:jc w:val="left"/>
        <w:tblInd w:w="0" w:type="dxa"/>
        <w:tblLayout w:type="fixed"/>
        <w:tblCellMar>
          <w:top w:w="28" w:type="dxa"/>
          <w:left w:w="28" w:type="dxa"/>
          <w:bottom w:w="28" w:type="dxa"/>
          <w:right w:w="28" w:type="dxa"/>
        </w:tblCellMar>
      </w:tblPr>
      <w:tblGrid>
        <w:gridCol w:w="508"/>
        <w:gridCol w:w="447"/>
        <w:gridCol w:w="451"/>
        <w:gridCol w:w="380"/>
        <w:gridCol w:w="380"/>
        <w:gridCol w:w="381"/>
        <w:gridCol w:w="376"/>
        <w:gridCol w:w="280"/>
        <w:gridCol w:w="281"/>
        <w:gridCol w:w="295"/>
        <w:gridCol w:w="295"/>
        <w:gridCol w:w="297"/>
        <w:gridCol w:w="451"/>
        <w:gridCol w:w="451"/>
        <w:gridCol w:w="452"/>
        <w:gridCol w:w="453"/>
        <w:gridCol w:w="453"/>
        <w:gridCol w:w="454"/>
        <w:gridCol w:w="687"/>
        <w:gridCol w:w="427"/>
        <w:gridCol w:w="428"/>
        <w:gridCol w:w="458"/>
        <w:gridCol w:w="458"/>
        <w:gridCol w:w="662"/>
      </w:tblGrid>
      <w:tr>
        <w:trPr/>
        <w:tc>
          <w:tcPr>
            <w:tcW w:w="5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06"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Pay Element</w:t>
            </w:r>
          </w:p>
        </w:tc>
        <w:tc>
          <w:tcPr>
            <w:tcW w:w="1141" w:type="dxa"/>
            <w:gridSpan w:val="3"/>
            <w:tcBorders>
              <w:top w:val="single" w:sz="4" w:space="0" w:color="000000"/>
              <w:left w:val="single" w:sz="4" w:space="0" w:color="000000"/>
            </w:tcBorders>
            <w:shd w:fill="1D2758"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Who Receives</w:t>
            </w:r>
          </w:p>
        </w:tc>
        <w:tc>
          <w:tcPr>
            <w:tcW w:w="937"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When Granted</w:t>
            </w:r>
          </w:p>
        </w:tc>
        <w:tc>
          <w:tcPr>
            <w:tcW w:w="887"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Form of Delivery</w:t>
            </w:r>
          </w:p>
        </w:tc>
        <w:tc>
          <w:tcPr>
            <w:tcW w:w="135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Type of Performance</w:t>
            </w:r>
          </w:p>
        </w:tc>
        <w:tc>
          <w:tcPr>
            <w:tcW w:w="1360"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Performance Period</w:t>
            </w:r>
          </w:p>
        </w:tc>
        <w:tc>
          <w:tcPr>
            <w:tcW w:w="1542"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How Payout Determined</w:t>
            </w:r>
          </w:p>
        </w:tc>
        <w:tc>
          <w:tcPr>
            <w:tcW w:w="1578"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 Performance Measures</w:t>
            </w:r>
          </w:p>
        </w:tc>
      </w:tr>
      <w:tr>
        <w:trPr/>
        <w:tc>
          <w:tcPr>
            <w:tcW w:w="1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Base Salary</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All named executive officers</w:t>
            </w:r>
          </w:p>
        </w:tc>
        <w:tc>
          <w:tcPr>
            <w:tcW w:w="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Bi-weekly</w:t>
            </w:r>
          </w:p>
        </w:tc>
        <w:tc>
          <w:tcPr>
            <w:tcW w:w="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Cash</w:t>
            </w:r>
          </w:p>
        </w:tc>
        <w:tc>
          <w:tcPr>
            <w:tcW w:w="13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Short-term emphasis (fixed)</w:t>
            </w:r>
          </w:p>
        </w:tc>
        <w:tc>
          <w:tcPr>
            <w:tcW w:w="1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Bi-weekly</w:t>
            </w:r>
          </w:p>
        </w:tc>
        <w:tc>
          <w:tcPr>
            <w:tcW w:w="15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Pre-established at each payroll date</w:t>
            </w:r>
          </w:p>
        </w:tc>
        <w:tc>
          <w:tcPr>
            <w:tcW w:w="15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Individual</w:t>
            </w:r>
          </w:p>
        </w:tc>
      </w:tr>
      <w:tr>
        <w:trPr/>
        <w:tc>
          <w:tcPr>
            <w:tcW w:w="1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STIP</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All named executive officers</w:t>
            </w:r>
          </w:p>
        </w:tc>
        <w:tc>
          <w:tcPr>
            <w:tcW w:w="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Annually</w:t>
            </w:r>
          </w:p>
        </w:tc>
        <w:tc>
          <w:tcPr>
            <w:tcW w:w="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Cash</w:t>
            </w:r>
          </w:p>
        </w:tc>
        <w:tc>
          <w:tcPr>
            <w:tcW w:w="13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Short-term emphasis (variable)</w:t>
            </w:r>
          </w:p>
        </w:tc>
        <w:tc>
          <w:tcPr>
            <w:tcW w:w="1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15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Pre-established formula</w:t>
            </w:r>
          </w:p>
        </w:tc>
        <w:tc>
          <w:tcPr>
            <w:tcW w:w="15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Adjusted EBITDA, Q4 Core Lease Revenue Delivered</w:t>
            </w:r>
          </w:p>
        </w:tc>
      </w:tr>
      <w:tr>
        <w:trPr/>
        <w:tc>
          <w:tcPr>
            <w:tcW w:w="14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Performance- Based RSUs</w:t>
            </w:r>
          </w:p>
        </w:tc>
        <w:tc>
          <w:tcPr>
            <w:tcW w:w="11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All named executive (cliff vesting) officers</w:t>
            </w:r>
          </w:p>
        </w:tc>
        <w:tc>
          <w:tcPr>
            <w:tcW w:w="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Annually</w:t>
            </w:r>
          </w:p>
        </w:tc>
        <w:tc>
          <w:tcPr>
            <w:tcW w:w="8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Equity</w:t>
            </w:r>
          </w:p>
        </w:tc>
        <w:tc>
          <w:tcPr>
            <w:tcW w:w="13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Long-term emphasis (variable)</w:t>
            </w:r>
          </w:p>
        </w:tc>
        <w:tc>
          <w:tcPr>
            <w:tcW w:w="1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15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Pre-established formula</w:t>
            </w:r>
          </w:p>
        </w:tc>
        <w:tc>
          <w:tcPr>
            <w:tcW w:w="157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Relative TSR vs. S&amp;P MidCap 400 Index</w:t>
            </w:r>
          </w:p>
        </w:tc>
      </w:tr>
      <w:tr>
        <w:trPr/>
        <w:tc>
          <w:tcPr>
            <w:tcW w:w="14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Time-Based RSUs</w:t>
            </w:r>
          </w:p>
        </w:tc>
        <w:tc>
          <w:tcPr>
            <w:tcW w:w="114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All named executive officers</w:t>
            </w:r>
          </w:p>
        </w:tc>
        <w:tc>
          <w:tcPr>
            <w:tcW w:w="93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Annually</w:t>
            </w:r>
          </w:p>
        </w:tc>
        <w:tc>
          <w:tcPr>
            <w:tcW w:w="8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Equity</w:t>
            </w:r>
          </w:p>
        </w:tc>
        <w:tc>
          <w:tcPr>
            <w:tcW w:w="135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Long-term emphasis (variable)</w:t>
            </w:r>
          </w:p>
        </w:tc>
        <w:tc>
          <w:tcPr>
            <w:tcW w:w="136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 years (ratable annual vesting)</w:t>
            </w:r>
          </w:p>
        </w:tc>
        <w:tc>
          <w:tcPr>
            <w:tcW w:w="154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Stock price at each vesting date</w:t>
            </w:r>
          </w:p>
        </w:tc>
        <w:tc>
          <w:tcPr>
            <w:tcW w:w="157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Service Period</w:t>
            </w:r>
          </w:p>
        </w:tc>
      </w:tr>
    </w:tbl>
    <w:p>
      <w:pPr>
        <w:pStyle w:val="TextBody"/>
        <w:bidi w:val="0"/>
        <w:spacing w:lineRule="auto" w:line="288" w:before="0" w:after="60"/>
        <w:jc w:val="left"/>
        <w:rPr>
          <w:rFonts w:ascii="Arial;sans-serif" w:hAnsi="Arial;sans-serif"/>
          <w:b/>
          <w:i/>
          <w:color w:val="1D2758"/>
          <w:sz w:val="18"/>
        </w:rPr>
      </w:pPr>
      <w:r>
        <w:rPr>
          <w:rFonts w:ascii="Arial;sans-serif" w:hAnsi="Arial;sans-serif"/>
          <w:b/>
          <w:i/>
          <w:color w:val="1D2758"/>
          <w:sz w:val="18"/>
        </w:rPr>
        <w:t>Key 2023 Compensation Actions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elements of our total direct compensation, which consist of base salary, short-term cash incentive compensation and long-term equity incentive compensation, for our named executive officers and a summary of the actions that our Compensation Committee took during 2023 are set forth below.</w:t>
      </w:r>
    </w:p>
    <w:tbl>
      <w:tblPr>
        <w:tblW w:w="10205" w:type="dxa"/>
        <w:jc w:val="left"/>
        <w:tblInd w:w="0" w:type="dxa"/>
        <w:tblLayout w:type="fixed"/>
        <w:tblCellMar>
          <w:top w:w="28" w:type="dxa"/>
          <w:left w:w="28" w:type="dxa"/>
          <w:bottom w:w="28" w:type="dxa"/>
          <w:right w:w="28" w:type="dxa"/>
        </w:tblCellMar>
      </w:tblPr>
      <w:tblGrid>
        <w:gridCol w:w="732"/>
        <w:gridCol w:w="563"/>
        <w:gridCol w:w="564"/>
        <w:gridCol w:w="1203"/>
        <w:gridCol w:w="864"/>
        <w:gridCol w:w="866"/>
        <w:gridCol w:w="1603"/>
        <w:gridCol w:w="1577"/>
        <w:gridCol w:w="2233"/>
      </w:tblGrid>
      <w:tr>
        <w:trPr/>
        <w:tc>
          <w:tcPr>
            <w:tcW w:w="7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Compensation Component</w:t>
            </w:r>
          </w:p>
        </w:tc>
        <w:tc>
          <w:tcPr>
            <w:tcW w:w="2933" w:type="dxa"/>
            <w:gridSpan w:val="3"/>
            <w:tcBorders>
              <w:top w:val="single" w:sz="4" w:space="0" w:color="000000"/>
              <w:left w:val="single" w:sz="4" w:space="0" w:color="000000"/>
            </w:tcBorders>
            <w:shd w:fill="1D2758"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Link to Business and Talent Strategies</w:t>
            </w:r>
          </w:p>
        </w:tc>
        <w:tc>
          <w:tcPr>
            <w:tcW w:w="5413" w:type="dxa"/>
            <w:gridSpan w:val="3"/>
            <w:tcBorders>
              <w:top w:val="single" w:sz="4" w:space="0" w:color="000000"/>
              <w:left w:val="single" w:sz="4" w:space="0" w:color="000000"/>
            </w:tcBorders>
            <w:shd w:fill="1D2758"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2023 Compensation Actions</w:t>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Base Salary</w:t>
            </w:r>
          </w:p>
        </w:tc>
        <w:tc>
          <w:tcPr>
            <w:tcW w:w="29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30"/>
              <w:ind w:left="0" w:right="0" w:hanging="360"/>
              <w:jc w:val="left"/>
              <w:rPr/>
            </w:pPr>
            <w:r>
              <w:rPr>
                <w:color w:val="000000"/>
              </w:rPr>
              <w:t>•</w:t>
            </w:r>
            <w:r>
              <w:rPr>
                <w:rFonts w:ascii="Arial;sans-serif" w:hAnsi="Arial;sans-serif"/>
                <w:b w:val="false"/>
                <w:color w:val="000000"/>
                <w:sz w:val="18"/>
              </w:rPr>
              <w:t>Competitive base salaries help attract and retain executive talent.</w:t>
            </w:r>
          </w:p>
        </w:tc>
        <w:tc>
          <w:tcPr>
            <w:tcW w:w="54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30"/>
              <w:ind w:left="0" w:right="0" w:hanging="360"/>
              <w:jc w:val="left"/>
              <w:rPr/>
            </w:pPr>
            <w:r>
              <w:rPr>
                <w:color w:val="000000"/>
              </w:rPr>
              <w:t>•</w:t>
            </w:r>
            <w:r>
              <w:rPr>
                <w:rFonts w:ascii="Arial;sans-serif" w:hAnsi="Arial;sans-serif"/>
                <w:b w:val="false"/>
                <w:color w:val="000000"/>
                <w:sz w:val="18"/>
              </w:rPr>
              <w:t>The CEO’s merit based increase for 2023 was 4.6% and the merit based increases for the other NEOs for 2023 ranged from 4% to 13.9%, to reflect role and responsibility changes and increases, respectively; strong Company performance; and for improved alignment with market compensation levels.</w:t>
            </w:r>
          </w:p>
        </w:tc>
      </w:tr>
      <w:tr>
        <w:trPr/>
        <w:tc>
          <w:tcPr>
            <w:tcW w:w="18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Short-Term Cash Incentive (“STIP”) Compensation</w:t>
            </w:r>
          </w:p>
        </w:tc>
        <w:tc>
          <w:tcPr>
            <w:tcW w:w="29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43" w:after="30"/>
              <w:ind w:left="0" w:right="0" w:hanging="360"/>
              <w:jc w:val="left"/>
              <w:rPr/>
            </w:pPr>
            <w:r>
              <w:rPr>
                <w:color w:val="000000"/>
              </w:rPr>
              <w:t>•</w:t>
            </w:r>
            <w:r>
              <w:rPr>
                <w:rFonts w:ascii="Arial;sans-serif" w:hAnsi="Arial;sans-serif"/>
                <w:b w:val="false"/>
                <w:color w:val="000000"/>
                <w:sz w:val="18"/>
              </w:rPr>
              <w:t>Focus executives on achieving annual financial results that are key indicators of annual financial and operational performance.</w:t>
            </w:r>
          </w:p>
        </w:tc>
        <w:tc>
          <w:tcPr>
            <w:tcW w:w="541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Named executive officers earned annual cash incentive awards valued at 117.34% of target (Adjusted EBITDA payout above target; Q4 Core Lease Revenue Delivered below target).</w:t>
            </w:r>
          </w:p>
        </w:tc>
      </w:tr>
      <w:tr>
        <w:trPr/>
        <w:tc>
          <w:tcPr>
            <w:tcW w:w="185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Long-Term Equity Incentive Compensation</w:t>
            </w:r>
          </w:p>
        </w:tc>
        <w:tc>
          <w:tcPr>
            <w:tcW w:w="29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43" w:after="120"/>
              <w:ind w:left="0" w:right="0" w:hanging="360"/>
              <w:jc w:val="left"/>
              <w:rPr/>
            </w:pPr>
            <w:r>
              <w:rPr>
                <w:color w:val="000000"/>
              </w:rPr>
              <w:t>•</w:t>
            </w:r>
            <w:r>
              <w:rPr>
                <w:rFonts w:ascii="Arial;sans-serif" w:hAnsi="Arial;sans-serif"/>
                <w:b w:val="false"/>
                <w:color w:val="000000"/>
                <w:sz w:val="18"/>
              </w:rPr>
              <w:t>2023 annual equity-based awards consisted of Performance-Based RSUs and Time-Based RSUs.</w:t>
            </w:r>
          </w:p>
          <w:p>
            <w:pPr>
              <w:pStyle w:val="TableContents"/>
              <w:bidi w:val="0"/>
              <w:spacing w:lineRule="auto" w:line="240" w:before="120" w:after="120"/>
              <w:ind w:left="0" w:right="0" w:hanging="360"/>
              <w:jc w:val="left"/>
              <w:rPr/>
            </w:pPr>
            <w:r>
              <w:rPr>
                <w:color w:val="000000"/>
              </w:rPr>
              <w:t>•</w:t>
            </w:r>
            <w:r>
              <w:rPr>
                <w:rFonts w:ascii="Arial;sans-serif" w:hAnsi="Arial;sans-serif"/>
                <w:b w:val="false"/>
                <w:color w:val="000000"/>
                <w:sz w:val="18"/>
              </w:rPr>
              <w:t>Performance-Based RSUs are based on relative total shareholder return (TSR) over a 3-year period versus constituent companies in the S&amp;P MidCap 400 Index.</w:t>
            </w:r>
          </w:p>
          <w:p>
            <w:pPr>
              <w:pStyle w:val="TableContents"/>
              <w:bidi w:val="0"/>
              <w:spacing w:lineRule="auto" w:line="240" w:before="120" w:after="30"/>
              <w:ind w:left="0" w:right="0" w:hanging="360"/>
              <w:jc w:val="left"/>
              <w:rPr/>
            </w:pPr>
            <w:r>
              <w:rPr>
                <w:color w:val="000000"/>
              </w:rPr>
              <w:t>•</w:t>
            </w:r>
            <w:r>
              <w:rPr>
                <w:rFonts w:ascii="Arial;sans-serif" w:hAnsi="Arial;sans-serif"/>
                <w:b w:val="false"/>
                <w:color w:val="000000"/>
                <w:sz w:val="18"/>
              </w:rPr>
              <w:t>Time-Based RSUs provide focus on stock price growth and support and underpin our talent retention objectives</w:t>
            </w:r>
          </w:p>
        </w:tc>
        <w:tc>
          <w:tcPr>
            <w:tcW w:w="541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43" w:after="120"/>
              <w:ind w:left="0" w:right="0" w:hanging="360"/>
              <w:jc w:val="left"/>
              <w:rPr/>
            </w:pPr>
            <w:r>
              <w:rPr>
                <w:color w:val="000000"/>
              </w:rPr>
              <w:t>•</w:t>
            </w:r>
            <w:r>
              <w:rPr>
                <w:rFonts w:ascii="Arial;sans-serif" w:hAnsi="Arial;sans-serif"/>
                <w:b w:val="false"/>
                <w:color w:val="000000"/>
                <w:sz w:val="18"/>
              </w:rPr>
              <w:t xml:space="preserve">The target annual equity award mix is 70% Performance-Based RSUs and 30% Time-Based RSUs for the CEO, CFO CLO and CHRO; and 65% Performance-Based RSUs and 35% Time-Based RSUs for all other named executive officers. For 2023, the Compensation Committee elected to increase the weighting of Performance-Based RSUs for Messrs. Lopez and Parkes and Ms. Shanks. </w:t>
            </w:r>
          </w:p>
          <w:p>
            <w:pPr>
              <w:pStyle w:val="TableContents"/>
              <w:bidi w:val="0"/>
              <w:spacing w:lineRule="auto" w:line="240" w:before="43" w:after="120"/>
              <w:ind w:left="0" w:right="0" w:hanging="360"/>
              <w:jc w:val="left"/>
              <w:rPr/>
            </w:pPr>
            <w:r>
              <w:rPr>
                <w:color w:val="000000"/>
              </w:rPr>
              <w:t>•</w:t>
            </w:r>
            <w:r>
              <w:rPr>
                <w:rFonts w:ascii="Arial;sans-serif" w:hAnsi="Arial;sans-serif"/>
                <w:b w:val="false"/>
                <w:color w:val="000000"/>
                <w:sz w:val="18"/>
              </w:rPr>
              <w:t>Performance-Based RSUs are subject to a 3-year performance period (3 years following the grant date).</w:t>
            </w:r>
          </w:p>
          <w:p>
            <w:pPr>
              <w:pStyle w:val="TableContents"/>
              <w:bidi w:val="0"/>
              <w:spacing w:lineRule="auto" w:line="240" w:before="120" w:after="120"/>
              <w:ind w:left="0" w:right="0" w:hanging="360"/>
              <w:jc w:val="left"/>
              <w:rPr/>
            </w:pPr>
            <w:r>
              <w:rPr>
                <w:color w:val="000000"/>
              </w:rPr>
              <w:t>•</w:t>
            </w:r>
            <w:r>
              <w:rPr>
                <w:rFonts w:ascii="Arial;sans-serif" w:hAnsi="Arial;sans-serif"/>
                <w:b w:val="false"/>
                <w:color w:val="000000"/>
                <w:sz w:val="18"/>
              </w:rPr>
              <w:t>Time-Based RSUs vest over four years, in equal annual installments.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135"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116</w:t>
                      </w:r>
                    </w:p>
                  </w:txbxContent>
                </v:textbox>
                <w10:wrap type="none"/>
              </v:rect>
            </w:pict>
          </mc:Fallback>
        </mc:AlternateContent>
      </w:r>
    </w:p>
    <w:p>
      <w:pPr>
        <w:pStyle w:val="TextBody"/>
        <w:bidi w:val="0"/>
        <w:spacing w:before="0" w:after="60"/>
        <w:jc w:val="left"/>
        <w:rPr/>
      </w:pPr>
      <w:r>
        <w:rPr/>
      </w:r>
    </w:p>
    <w:p>
      <w:pPr>
        <w:pStyle w:val="TextBody"/>
        <w:bidi w:val="0"/>
        <w:spacing w:lineRule="auto" w:line="240" w:before="2" w:after="240"/>
        <w:jc w:val="left"/>
        <w:rPr>
          <w:rFonts w:ascii="Arial;sans-serif" w:hAnsi="Arial;sans-serif"/>
          <w:b/>
          <w:color w:val="000000"/>
          <w:sz w:val="20"/>
        </w:rPr>
      </w:pPr>
      <w:r>
        <w:rPr>
          <w:rFonts w:ascii="Arial;sans-serif" w:hAnsi="Arial;sans-serif"/>
          <w:b/>
          <w:color w:val="000000"/>
          <w:sz w:val="20"/>
        </w:rPr>
        <w:t xml:space="preserve">Pay Mix is Majority Performance Based </w:t>
      </w:r>
    </w:p>
    <w:p>
      <w:pPr>
        <w:pStyle w:val="TextBody"/>
        <w:bidi w:val="0"/>
        <w:spacing w:before="2" w:after="240"/>
        <w:jc w:val="center"/>
        <w:rPr/>
      </w:pPr>
      <w:r>
        <w:rPr/>
        <w:drawing>
          <wp:inline distT="0" distB="0" distL="0" distR="0">
            <wp:extent cx="4629150" cy="3352800"/>
            <wp:effectExtent l="0" t="0" r="0" b="0"/>
            <wp:docPr id="1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0" descr=""/>
                    <pic:cNvPicPr>
                      <a:picLocks noChangeAspect="1" noChangeArrowheads="1"/>
                    </pic:cNvPicPr>
                  </pic:nvPicPr>
                  <pic:blipFill>
                    <a:blip r:embed="rId21"/>
                    <a:stretch>
                      <a:fillRect/>
                    </a:stretch>
                  </pic:blipFill>
                  <pic:spPr bwMode="auto">
                    <a:xfrm>
                      <a:off x="0" y="0"/>
                      <a:ext cx="4629150" cy="3352800"/>
                    </a:xfrm>
                    <a:prstGeom prst="rect">
                      <a:avLst/>
                    </a:prstGeom>
                  </pic:spPr>
                </pic:pic>
              </a:graphicData>
            </a:graphic>
          </wp:inline>
        </w:drawing>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Emphasis on Performance-Based Elements of Compensation</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It remains our firm belief that the majority of compensation of our senior executives should be based on our overall performance. A significant portion of our executives’ pay is incentive-based and therefore at risk. In 2023, as shown in the preceding chart, performance-linked components (Annual Performance Bonus (“STIP”) and long-term incentive compensation) were 88% of the CEO’s target total direct compensation opportunity, which we define as base salary, target STIP and target value of long-term incentive compensation, and 79% of the average target total direct compensation opportunity for the other named executive officers.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137"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Our Governance Practices</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The Compensation Committee reviews on an ongoing basis our executive compensation program to evaluate whether it supports our executive compensation philosophies and objectives and is aligned with stockholder interests. We also seek to implement strong corporate governance practices in other areas as well as compensation. Our compensation and other corporate governance practices include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956"/>
        <w:gridCol w:w="851"/>
        <w:gridCol w:w="853"/>
        <w:gridCol w:w="109"/>
        <w:gridCol w:w="109"/>
        <w:gridCol w:w="109"/>
        <w:gridCol w:w="1006"/>
        <w:gridCol w:w="888"/>
        <w:gridCol w:w="890"/>
        <w:gridCol w:w="109"/>
        <w:gridCol w:w="109"/>
        <w:gridCol w:w="109"/>
        <w:gridCol w:w="120"/>
        <w:gridCol w:w="120"/>
        <w:gridCol w:w="120"/>
        <w:gridCol w:w="995"/>
        <w:gridCol w:w="995"/>
        <w:gridCol w:w="14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6113" w:type="dxa"/>
            <w:gridSpan w:val="12"/>
            <w:tcBorders/>
            <w:shd w:fill="1D2758" w:val="clear"/>
            <w:tcMar>
              <w:top w:w="0" w:type="dxa"/>
              <w:left w:w="0" w:type="dxa"/>
              <w:bottom w:w="0" w:type="dxa"/>
              <w:right w:w="0" w:type="dxa"/>
            </w:tcMar>
            <w:vAlign w:val="center"/>
          </w:tcPr>
          <w:p>
            <w:pPr>
              <w:pStyle w:val="TableContents"/>
              <w:bidi w:val="0"/>
              <w:spacing w:lineRule="auto" w:line="240" w:before="53" w:after="30"/>
              <w:jc w:val="center"/>
              <w:rPr>
                <w:rFonts w:ascii="Arial;sans-serif" w:hAnsi="Arial;sans-serif"/>
                <w:b/>
                <w:color w:val="FFFFFF"/>
                <w:sz w:val="18"/>
              </w:rPr>
            </w:pPr>
            <w:r>
              <w:rPr>
                <w:rFonts w:ascii="Arial;sans-serif" w:hAnsi="Arial;sans-serif"/>
                <w:b/>
                <w:color w:val="FFFFFF"/>
                <w:sz w:val="18"/>
              </w:rPr>
              <w:t>We do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 do not (X)</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pay for performance by structuring a significant percentage of target annual compensation in the form of variable, at-risk compensation</w:t>
            </w:r>
          </w:p>
        </w:tc>
        <w:tc>
          <w:tcPr>
            <w:tcW w:w="327" w:type="dxa"/>
            <w:gridSpan w:val="3"/>
            <w:tcBorders/>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w:t>
            </w:r>
          </w:p>
        </w:tc>
        <w:tc>
          <w:tcPr>
            <w:tcW w:w="2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Actively solicit feedback from our stockholders on compensation and governance matters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Offer compensation-related tax gross-ups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pre-established performance goals that are aligned with creation of stockholder value</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Board oversight of ESG and other sustainability matters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 hedging, short sales, monetization, derivative and similar transactions of our securities by directors, officers or other employees, unless approved by the Board</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a comprehensive Code of Business Conduct, Code of Ethics, and Corporate Governance Guidelines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Audit Committee and Compensation Committee oversight of the Company’s Enterprise Risk Management Program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 pledging of our securities by directors, officers or other employees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Conduct annual market comparison of executive compensation against a relevant peer group</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 directors by majority vote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 dividends on unearned performance-based awards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double-trigger vesting for equity awards in the event of a change in control</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 the Board and each committee express authority to retain outside advisors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 dividends on unvested Time-Based awards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an equity plan dilution within market practices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Split the roles of Chairman and Chief Executive Officer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 stock options with exercise prices less than the fair market values of our common stock on the grant date</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robust stock ownership guidelines for executives and Directors that reinforce alignment with stockholders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 annual Board and committee self-evaluations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Reprice or buy-out underwater stock options without stockholder approval</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a recoupment policy that authorizes recovery of cash and equity incentive compensation and exceeds SEC regulations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 an annual review of a CEO succession plan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Provide reload provisions in any stock option grant</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cash severance within market practices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 an annual review of senior management succession planning</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Provide defined benefit pension plans for executives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Provide senior executives generally the same benefits as full-time employees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a Nominating and Corporate Governance Committee with oversight over the Company’s governance framework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w:t>
            </w:r>
          </w:p>
        </w:tc>
        <w:tc>
          <w:tcPr>
            <w:tcW w:w="34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any significant perquisites</w:t>
            </w:r>
          </w:p>
        </w:tc>
      </w:tr>
      <w:tr>
        <w:trPr/>
        <w:tc>
          <w:tcPr>
            <w:tcW w:w="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Mitigate undue risks, particularly by annual review of plans, policies and practices</w:t>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right"/>
              <w:rPr>
                <w:color w:val="000000"/>
              </w:rPr>
            </w:pPr>
            <w:r>
              <w:rPr>
                <w:color w:val="000000"/>
              </w:rPr>
              <w:t>✔</w:t>
            </w:r>
          </w:p>
        </w:tc>
        <w:tc>
          <w:tcPr>
            <w:tcW w:w="27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oversight of the Company’s goals and objectives relating to human capital management, diversity and inclusion by the Compensation Committee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266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an independent compensation consultant advising the Compensation Committee</w:t>
            </w:r>
          </w:p>
        </w:tc>
        <w:tc>
          <w:tcPr>
            <w:tcW w:w="3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43" w:after="30"/>
              <w:jc w:val="right"/>
              <w:rPr>
                <w:color w:val="000000"/>
              </w:rPr>
            </w:pPr>
            <w:r>
              <w:rPr>
                <w:color w:val="000000"/>
              </w:rPr>
              <w:t>✔</w:t>
            </w:r>
          </w:p>
        </w:tc>
        <w:tc>
          <w:tcPr>
            <w:tcW w:w="278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Have a Lead Independent Director</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How We Determine Executive Compensation</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Executive Compensation Philosophy</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The Compensation Committee and the Board believe our executive compensation program should reward actions and behaviors that drive stockholder value creation. The Compensation Committee seeks to foster these objectives through a compensation system that focuses heavily on variable, performance-based incentives that create a balanced focus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138"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short-term and long-term financial, operational, and strategic goals. To that end, the Compensation Committee’s goal is to implement an executive compensation program that is built upon the following objectives:</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Attracting and Retaining the Right Talent</w:t>
      </w:r>
      <w:r>
        <w:rPr>
          <w:rFonts w:ascii="Arial;sans-serif" w:hAnsi="Arial;sans-serif"/>
          <w:b w:val="false"/>
          <w:color w:val="000000"/>
          <w:sz w:val="18"/>
        </w:rPr>
        <w:t>. Executive compensation should be market-competitive to attract and retain highly motivated talent with a performance-driven mindset.</w:t>
      </w:r>
    </w:p>
    <w:p>
      <w:pPr>
        <w:pStyle w:val="TextBody"/>
        <w:bidi w:val="0"/>
        <w:spacing w:lineRule="auto" w:line="288" w:before="0" w:after="60"/>
        <w:ind w:left="0" w:right="0" w:hanging="360"/>
        <w:jc w:val="both"/>
        <w:rPr/>
      </w:pPr>
      <w:r>
        <w:rPr>
          <w:color w:val="000000"/>
        </w:rPr>
        <w:t>•</w:t>
      </w:r>
      <w:r>
        <w:rPr>
          <w:rFonts w:ascii="Arial;sans-serif" w:hAnsi="Arial;sans-serif"/>
          <w:b/>
          <w:color w:val="000000"/>
          <w:sz w:val="18"/>
        </w:rPr>
        <w:t>Pay for Performance</w:t>
      </w:r>
      <w:r>
        <w:rPr>
          <w:rFonts w:ascii="Arial;sans-serif" w:hAnsi="Arial;sans-serif"/>
          <w:b w:val="false"/>
          <w:color w:val="000000"/>
          <w:sz w:val="18"/>
        </w:rPr>
        <w:t>. A significant percentage of an executive’s compensation should be directly aligned with Company performance, with a balance between short-term and long-term performance.</w:t>
      </w:r>
    </w:p>
    <w:p>
      <w:pPr>
        <w:pStyle w:val="TextBody"/>
        <w:bidi w:val="0"/>
        <w:spacing w:lineRule="auto" w:line="288" w:before="0" w:after="120"/>
        <w:ind w:left="0" w:right="0" w:hanging="360"/>
        <w:jc w:val="both"/>
        <w:rPr/>
      </w:pPr>
      <w:r>
        <w:rPr>
          <w:color w:val="000000"/>
        </w:rPr>
        <w:t>•</w:t>
      </w:r>
      <w:r>
        <w:rPr>
          <w:rFonts w:ascii="Arial;sans-serif" w:hAnsi="Arial;sans-serif"/>
          <w:b/>
          <w:color w:val="000000"/>
          <w:sz w:val="18"/>
        </w:rPr>
        <w:t>Alignment with Stockholder Interests</w:t>
      </w:r>
      <w:r>
        <w:rPr>
          <w:rFonts w:ascii="Arial;sans-serif" w:hAnsi="Arial;sans-serif"/>
          <w:b w:val="false"/>
          <w:color w:val="000000"/>
          <w:sz w:val="18"/>
        </w:rPr>
        <w:t>. Our executives’ interests should be aligned with stockholder interests through the risks and rewards of stock ownership in the Company.</w:t>
      </w:r>
    </w:p>
    <w:p>
      <w:pPr>
        <w:pStyle w:val="TextBody"/>
        <w:bidi w:val="0"/>
        <w:spacing w:lineRule="auto" w:line="240" w:before="0" w:after="60"/>
        <w:jc w:val="both"/>
        <w:rPr>
          <w:rFonts w:ascii="Arial;sans-serif" w:hAnsi="Arial;sans-serif"/>
          <w:b/>
          <w:i/>
          <w:color w:val="1D2758"/>
          <w:sz w:val="18"/>
        </w:rPr>
      </w:pPr>
      <w:r>
        <w:rPr>
          <w:rFonts w:ascii="Arial;sans-serif" w:hAnsi="Arial;sans-serif"/>
          <w:b/>
          <w:i/>
          <w:color w:val="1D2758"/>
          <w:sz w:val="18"/>
        </w:rPr>
        <w:t>Oversight Responsibilities for Executive Compensation</w:t>
      </w:r>
    </w:p>
    <w:tbl>
      <w:tblPr>
        <w:tblW w:w="10205" w:type="dxa"/>
        <w:jc w:val="left"/>
        <w:tblInd w:w="0" w:type="dxa"/>
        <w:tblLayout w:type="fixed"/>
        <w:tblCellMar>
          <w:top w:w="28" w:type="dxa"/>
          <w:left w:w="28" w:type="dxa"/>
          <w:bottom w:w="28" w:type="dxa"/>
          <w:right w:w="28" w:type="dxa"/>
        </w:tblCellMar>
      </w:tblPr>
      <w:tblGrid>
        <w:gridCol w:w="739"/>
        <w:gridCol w:w="651"/>
        <w:gridCol w:w="653"/>
        <w:gridCol w:w="2566"/>
        <w:gridCol w:w="2315"/>
        <w:gridCol w:w="3281"/>
      </w:tblGrid>
      <w:tr>
        <w:trPr/>
        <w:tc>
          <w:tcPr>
            <w:tcW w:w="7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op w:val="single" w:sz="4" w:space="0" w:color="1D2758"/>
              <w:left w:val="single" w:sz="4" w:space="0" w:color="1D2758"/>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Committee</w:t>
            </w:r>
          </w:p>
        </w:tc>
        <w:tc>
          <w:tcPr>
            <w:tcW w:w="8162" w:type="dxa"/>
            <w:gridSpan w:val="3"/>
            <w:tcBorders>
              <w:top w:val="single" w:sz="4" w:space="0" w:color="1D2758"/>
              <w:right w:val="single" w:sz="4" w:space="0" w:color="1D2758"/>
            </w:tcBorders>
            <w:tcMar>
              <w:top w:w="3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8"/>
              </w:rPr>
              <w:t>Establishes executive compensation philosophy and oversees human capital management strategy</w:t>
            </w:r>
          </w:p>
        </w:tc>
      </w:tr>
      <w:tr>
        <w:trPr/>
        <w:tc>
          <w:tcPr>
            <w:tcW w:w="2043" w:type="dxa"/>
            <w:gridSpan w:val="3"/>
            <w:tcBorders>
              <w:left w:val="single" w:sz="4"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3"/>
            <w:tcBorders>
              <w:right w:val="single" w:sz="4" w:space="0" w:color="1D2758"/>
            </w:tcBorders>
            <w:tcMar>
              <w:top w:w="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8"/>
              </w:rPr>
              <w:t>Approves incentive compensation and target performance expectations for the STIP and long-term incentive awards</w:t>
            </w:r>
          </w:p>
        </w:tc>
      </w:tr>
      <w:tr>
        <w:trPr/>
        <w:tc>
          <w:tcPr>
            <w:tcW w:w="2043" w:type="dxa"/>
            <w:gridSpan w:val="3"/>
            <w:tcBorders>
              <w:left w:val="single" w:sz="4"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3"/>
            <w:tcBorders>
              <w:right w:val="single" w:sz="4" w:space="0" w:color="1D2758"/>
            </w:tcBorders>
            <w:tcMar>
              <w:top w:w="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8"/>
              </w:rPr>
              <w:t>Reviews NEO compensation and approves all compensation actions for the NEOs, including base salary, target and actual STIP and long-term incentive awards</w:t>
            </w:r>
          </w:p>
        </w:tc>
      </w:tr>
      <w:tr>
        <w:trPr/>
        <w:tc>
          <w:tcPr>
            <w:tcW w:w="2043" w:type="dxa"/>
            <w:gridSpan w:val="3"/>
            <w:tcBorders>
              <w:top w:val="single" w:sz="4" w:space="0" w:color="1D2758"/>
              <w:left w:val="single" w:sz="4" w:space="0" w:color="1D2758"/>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Board Members</w:t>
            </w:r>
          </w:p>
        </w:tc>
        <w:tc>
          <w:tcPr>
            <w:tcW w:w="8162" w:type="dxa"/>
            <w:gridSpan w:val="3"/>
            <w:tcBorders>
              <w:top w:val="single" w:sz="4" w:space="0" w:color="1D2758"/>
              <w:right w:val="single" w:sz="4" w:space="0" w:color="1D2758"/>
            </w:tcBorders>
            <w:tcMar>
              <w:top w:w="3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8"/>
              </w:rPr>
              <w:t>Assess performance of the CEO and provide governance oversight for other executive compensation matters, including with regard to considering the results of “Say on Pay” votes, receiving and considering feedback on an on-going basis from stockholders and other sources regarding executive compensation, overseeing the application of stock ownership guidelines that are applicable to the CEO, and other similar responsibilities</w:t>
            </w:r>
          </w:p>
        </w:tc>
      </w:tr>
      <w:tr>
        <w:trPr/>
        <w:tc>
          <w:tcPr>
            <w:tcW w:w="2043" w:type="dxa"/>
            <w:gridSpan w:val="3"/>
            <w:tcBorders>
              <w:top w:val="single" w:sz="4" w:space="0" w:color="1D2758"/>
              <w:left w:val="single" w:sz="4" w:space="0" w:color="1D2758"/>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Independent Compensation Consultant – Pay Governance</w:t>
            </w:r>
          </w:p>
        </w:tc>
        <w:tc>
          <w:tcPr>
            <w:tcW w:w="8162" w:type="dxa"/>
            <w:gridSpan w:val="3"/>
            <w:tcBorders>
              <w:top w:val="single" w:sz="4" w:space="0" w:color="1D2758"/>
              <w:right w:val="single" w:sz="4" w:space="0" w:color="1D2758"/>
            </w:tcBorders>
            <w:tcMar>
              <w:top w:w="3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8"/>
              </w:rPr>
              <w:t>Provides independent advice, research and analytical services on a variety of subjects to the Compensation Committee, including talent and retention, compensation of executive officers, nonemployee director compensation and executive compensation trends</w:t>
            </w:r>
          </w:p>
        </w:tc>
      </w:tr>
      <w:tr>
        <w:trPr/>
        <w:tc>
          <w:tcPr>
            <w:tcW w:w="2043" w:type="dxa"/>
            <w:gridSpan w:val="3"/>
            <w:tcBorders>
              <w:left w:val="single" w:sz="4"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3"/>
            <w:tcBorders>
              <w:right w:val="single" w:sz="4" w:space="0" w:color="1D2758"/>
            </w:tcBorders>
            <w:tcMar>
              <w:top w:w="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8"/>
              </w:rPr>
              <w:t>Participates in Compensation Committee meetings as requested and communicates with the Chair of the Compensation Committee between meetings</w:t>
            </w:r>
          </w:p>
        </w:tc>
      </w:tr>
      <w:tr>
        <w:trPr/>
        <w:tc>
          <w:tcPr>
            <w:tcW w:w="2043" w:type="dxa"/>
            <w:gridSpan w:val="3"/>
            <w:tcBorders>
              <w:left w:val="single" w:sz="4" w:space="0" w:color="1D2758"/>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3"/>
            <w:tcBorders>
              <w:right w:val="single" w:sz="4" w:space="0" w:color="1D2758"/>
            </w:tcBorders>
            <w:tcMar>
              <w:top w:w="0" w:type="dxa"/>
              <w:left w:w="0" w:type="dxa"/>
              <w:bottom w:w="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8"/>
              </w:rPr>
              <w:t>Reports to the Compensation Committee, does not perform any other services for the Company, and has no economic or other ties to the Company or the management team that could compromise its independence or objectivity</w:t>
            </w:r>
          </w:p>
        </w:tc>
      </w:tr>
      <w:tr>
        <w:trPr/>
        <w:tc>
          <w:tcPr>
            <w:tcW w:w="2043" w:type="dxa"/>
            <w:gridSpan w:val="3"/>
            <w:tcBorders>
              <w:top w:val="single" w:sz="4" w:space="0" w:color="1D2758"/>
              <w:left w:val="single" w:sz="4" w:space="0" w:color="1D2758"/>
              <w:bottom w:val="single" w:sz="4" w:space="0" w:color="1D2758"/>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CEO and Management</w:t>
            </w:r>
          </w:p>
        </w:tc>
        <w:tc>
          <w:tcPr>
            <w:tcW w:w="8162" w:type="dxa"/>
            <w:gridSpan w:val="3"/>
            <w:tcBorders>
              <w:top w:val="single" w:sz="4" w:space="0" w:color="1D2758"/>
              <w:bottom w:val="single" w:sz="4" w:space="0" w:color="1D2758"/>
              <w:right w:val="single" w:sz="4" w:space="0" w:color="1D2758"/>
            </w:tcBorders>
            <w:tcMar>
              <w:top w:w="30" w:type="dxa"/>
              <w:left w:w="0" w:type="dxa"/>
              <w:bottom w:w="30" w:type="dxa"/>
            </w:tcMar>
            <w:vAlign w:val="center"/>
          </w:tcPr>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8"/>
              </w:rPr>
              <w:t>Management, including the CEO, develops preliminary recommendations regarding compensation matters with respect to all NEOs, other than the CEO, and provides these recommendations to the Compensation Committee, which reviews its recommendations and makes the final decisions, with advice from its independent consultant, as appropriate</w:t>
            </w:r>
          </w:p>
          <w:p>
            <w:pPr>
              <w:pStyle w:val="TableContents"/>
              <w:bidi w:val="0"/>
              <w:spacing w:lineRule="auto" w:line="240" w:before="0" w:after="120"/>
              <w:ind w:left="0" w:right="0" w:hanging="360"/>
              <w:jc w:val="both"/>
              <w:rPr/>
            </w:pPr>
            <w:r>
              <w:rPr>
                <w:color w:val="000000"/>
              </w:rPr>
              <w:t>•</w:t>
            </w:r>
            <w:r>
              <w:rPr>
                <w:rFonts w:ascii="Arial;sans-serif" w:hAnsi="Arial;sans-serif"/>
                <w:b w:val="false"/>
                <w:color w:val="000000"/>
                <w:sz w:val="18"/>
              </w:rPr>
              <w:t>Responsible for the administration of the compensation program once Compensation Committee decisions are finalized</w:t>
            </w:r>
          </w:p>
        </w:tc>
      </w:tr>
    </w:tbl>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 xml:space="preserve">Use of Market Data </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In setting executive compensation, our Compensation Committee considers the competitive pay environment and seeks to ensure that our executives’ compensation opportunities are competitive with the market. For 2023, the Compensation Committee, working with its independent compensation consultant, Pay Governance, recommended a peer group of companies that would serve as a reference point when setting pay levels and understanding pay practices. This peer group was drawn from companies that aligned well with our business, our size (based on ROIC, growth, free cash flow, revenue, EBITDA, and market capitalization), our industry, our customer base, our national scope or similarity of distribution. The Compensation Committee also selected companies that may compete with us for talent, customers or both talent and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139"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119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Compensation Committee reviews the peer group annually. In 2022, due to the merger of Duke Realty Corporation into Prologis the Compensation Committee (with advice from Pay Governance) approved the exit of Duke Realty from our peer group and the addition of Waste Connections, and approved the following peer group for use in setting compensation for 2023:</w:t>
      </w:r>
    </w:p>
    <w:tbl>
      <w:tblPr>
        <w:tblW w:w="5414" w:type="dxa"/>
        <w:jc w:val="left"/>
        <w:tblInd w:w="0" w:type="dxa"/>
        <w:tblLayout w:type="fixed"/>
        <w:tblCellMar>
          <w:top w:w="28" w:type="dxa"/>
          <w:left w:w="28" w:type="dxa"/>
          <w:bottom w:w="28" w:type="dxa"/>
          <w:right w:w="28" w:type="dxa"/>
        </w:tblCellMar>
      </w:tblPr>
      <w:tblGrid>
        <w:gridCol w:w="802"/>
        <w:gridCol w:w="706"/>
        <w:gridCol w:w="711"/>
        <w:gridCol w:w="936"/>
        <w:gridCol w:w="936"/>
        <w:gridCol w:w="1323"/>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8"/>
              </w:rPr>
              <w:t>Air Lease Corporation</w:t>
            </w:r>
          </w:p>
        </w:tc>
        <w:tc>
          <w:tcPr>
            <w:tcW w:w="3195"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8"/>
              </w:rPr>
              <w:t>Iron Mountain Incorporated</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8"/>
              </w:rPr>
              <w:t xml:space="preserve">Americold Realty Trust </w:t>
            </w:r>
          </w:p>
        </w:tc>
        <w:tc>
          <w:tcPr>
            <w:tcW w:w="3195"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8"/>
              </w:rPr>
              <w:t>Lamar Advertising Company (REIT)</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8"/>
              </w:rPr>
              <w:t xml:space="preserve">Cintas Corporation </w:t>
            </w:r>
          </w:p>
        </w:tc>
        <w:tc>
          <w:tcPr>
            <w:tcW w:w="3195"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8"/>
              </w:rPr>
              <w:t xml:space="preserve">Republic Services, Inc. </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8"/>
              </w:rPr>
              <w:t>Clean Harbors, Inc.</w:t>
            </w:r>
          </w:p>
        </w:tc>
        <w:tc>
          <w:tcPr>
            <w:tcW w:w="3195"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8"/>
              </w:rPr>
              <w:t>Stericycle, Inc.</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8"/>
              </w:rPr>
              <w:t xml:space="preserve">CubeSmart </w:t>
            </w:r>
          </w:p>
        </w:tc>
        <w:tc>
          <w:tcPr>
            <w:tcW w:w="3195"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8"/>
              </w:rPr>
              <w:t>Triton International Limited</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8"/>
              </w:rPr>
              <w:t>Extra Space Storage Inc.</w:t>
            </w:r>
          </w:p>
        </w:tc>
        <w:tc>
          <w:tcPr>
            <w:tcW w:w="3195"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8"/>
              </w:rPr>
              <w:t>UniFirst Corporation</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8"/>
              </w:rPr>
              <w:t>GATX Corporation</w:t>
            </w:r>
          </w:p>
        </w:tc>
        <w:tc>
          <w:tcPr>
            <w:tcW w:w="3195"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8"/>
              </w:rPr>
              <w:t>United Rentals, Inc.</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8"/>
              </w:rPr>
              <w:t>GFL Environmental Inc.</w:t>
            </w:r>
          </w:p>
        </w:tc>
        <w:tc>
          <w:tcPr>
            <w:tcW w:w="3195"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 </w:t>
            </w:r>
            <w:r>
              <w:rPr>
                <w:rFonts w:ascii="Arial;sans-serif" w:hAnsi="Arial;sans-serif"/>
                <w:b w:val="false"/>
                <w:color w:val="000000"/>
                <w:sz w:val="18"/>
              </w:rPr>
              <w:t>Waste Connections</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53" w:after="30"/>
              <w:ind w:left="0" w:right="0" w:hanging="360"/>
              <w:jc w:val="left"/>
              <w:rPr/>
            </w:pPr>
            <w:r>
              <w:rPr>
                <w:color w:val="000000"/>
              </w:rPr>
              <w:t>•</w:t>
            </w:r>
            <w:r>
              <w:rPr>
                <w:rFonts w:ascii="Arial;sans-serif" w:hAnsi="Arial;sans-serif"/>
                <w:b w:val="false"/>
                <w:color w:val="000000"/>
                <w:sz w:val="18"/>
              </w:rPr>
              <w:t>Herc Holdings Inc.</w:t>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group reflects the complexities of our business beyond that of a typical general rent organization, including our long-duration lease portfolio and emphasis on and expertise developing turnkey space and storage solutions. Our business also uses long-lived assets, due to our ability to lease a unit, renew and refurbish it upon return, and reuse it up to seven times over a 20- to 30-year period. Finally, as we continue to scale and grow our business, we updated the peer group to include larger peers than we had included in the past.</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Because there is limited information on positions other than the CEO and CFO in the peer group data, the Compensation Committee also reviews data from national survey sources related to general industry when it considers the market competitiveness of named executive officer compensation levels or market practices. The Compensation Committee does not review the specific companies included in these surveys and the data presented to the Compensation Committee are general and not specific to any particular subset of companies.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Compensation Committee does not target a specific competitive position versus the peer group or other survey data in determining the compensation of our named executive officers. Instead, the compensation practices of the peer group and the Company’s industry survey information are two data points that the Compensation Committee considers, in addition to pay for performance and the other principles of our compensation program, in seeking to establish compensation for our executive officers that best furthers our performance objectives and stockholder interests.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2023 Named Executive Officer Compensation Elements in Detail</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Base Salaries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Compensation Committee approved changes in NEO base salaries for 2023 based on an assessment of individual performance and to better align with market compensation levels and to reflect role and responsibility changes and increases, respectively, and strong Company performance. Base salary represents the fixed amount that we pay to each named executive officer for performing their normal duties and responsibilities. We determine the amount based on the NEO’s overall performance, level of responsibility and comparison to the peer group and other survey data. Based on these criteria, the Compensation Committee established the following 2023 base salaries for the NEOs:</w:t>
      </w:r>
    </w:p>
    <w:tbl>
      <w:tblPr>
        <w:tblW w:w="7093" w:type="dxa"/>
        <w:jc w:val="left"/>
        <w:tblInd w:w="0" w:type="dxa"/>
        <w:tblLayout w:type="fixed"/>
        <w:tblCellMar>
          <w:top w:w="28" w:type="dxa"/>
          <w:left w:w="28" w:type="dxa"/>
          <w:bottom w:w="28" w:type="dxa"/>
          <w:right w:w="28" w:type="dxa"/>
        </w:tblCellMar>
      </w:tblPr>
      <w:tblGrid>
        <w:gridCol w:w="607"/>
        <w:gridCol w:w="535"/>
        <w:gridCol w:w="537"/>
        <w:gridCol w:w="298"/>
        <w:gridCol w:w="1168"/>
        <w:gridCol w:w="154"/>
        <w:gridCol w:w="298"/>
        <w:gridCol w:w="1168"/>
        <w:gridCol w:w="154"/>
        <w:gridCol w:w="635"/>
        <w:gridCol w:w="635"/>
        <w:gridCol w:w="90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Executive Officer</w:t>
            </w:r>
          </w:p>
        </w:tc>
        <w:tc>
          <w:tcPr>
            <w:tcW w:w="1620"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 Base Salary</w:t>
            </w:r>
          </w:p>
        </w:tc>
        <w:tc>
          <w:tcPr>
            <w:tcW w:w="1620"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 Base Salary</w:t>
            </w:r>
          </w:p>
        </w:tc>
        <w:tc>
          <w:tcPr>
            <w:tcW w:w="217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Over Year Change</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Bradley L. Soultz</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979,440 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pPr>
            <w:r>
              <w:rPr>
                <w:rFonts w:ascii="Arial;sans-serif" w:hAnsi="Arial;sans-serif"/>
                <w:b w:val="false"/>
                <w:color w:val="000000"/>
                <w:sz w:val="18"/>
              </w:rPr>
              <w:t>4.6%</w:t>
            </w:r>
            <w:r>
              <w:rPr>
                <w:rFonts w:ascii="Arial;sans-serif" w:hAnsi="Arial;sans-serif"/>
                <w:b w:val="false"/>
                <w:color w:val="000000"/>
                <w:sz w:val="12"/>
              </w:rPr>
              <w:t>(1)</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D. Boswell</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655,627 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center"/>
              <w:rPr/>
            </w:pPr>
            <w:r>
              <w:rPr>
                <w:rFonts w:ascii="Arial;sans-serif" w:hAnsi="Arial;sans-serif"/>
                <w:b w:val="false"/>
                <w:color w:val="000000"/>
                <w:sz w:val="18"/>
              </w:rPr>
              <w:t>5.1%</w:t>
            </w:r>
            <w:r>
              <w:rPr>
                <w:rFonts w:ascii="Arial;sans-serif" w:hAnsi="Arial;sans-serif"/>
                <w:b w:val="false"/>
                <w:color w:val="000000"/>
                <w:sz w:val="12"/>
              </w:rPr>
              <w:t>(2)</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Hezron T. Lopez</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Felicia K. Gorcyca</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16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Graeme Parkes</w:t>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436,800 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420,000 </w:t>
            </w:r>
          </w:p>
        </w:tc>
        <w:tc>
          <w:tcPr>
            <w:tcW w:w="15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r>
      <w:tr>
        <w:trPr/>
        <w:tc>
          <w:tcPr>
            <w:tcW w:w="167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Sally J. Shanks</w:t>
            </w:r>
          </w:p>
        </w:tc>
        <w:tc>
          <w:tcPr>
            <w:tcW w:w="29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410,000 </w:t>
            </w:r>
          </w:p>
        </w:tc>
        <w:tc>
          <w:tcPr>
            <w:tcW w:w="15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6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360,000 </w:t>
            </w:r>
          </w:p>
        </w:tc>
        <w:tc>
          <w:tcPr>
            <w:tcW w:w="15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43" w:after="30"/>
              <w:jc w:val="center"/>
              <w:rPr/>
            </w:pPr>
            <w:r>
              <w:rPr>
                <w:rFonts w:ascii="Arial;sans-serif" w:hAnsi="Arial;sans-serif"/>
                <w:b w:val="false"/>
                <w:color w:val="000000"/>
                <w:sz w:val="18"/>
              </w:rPr>
              <w:t>13.9%</w:t>
            </w:r>
            <w:r>
              <w:rPr>
                <w:rFonts w:ascii="Arial;sans-serif" w:hAnsi="Arial;sans-serif"/>
                <w:b w:val="false"/>
                <w:color w:val="000000"/>
                <w:sz w:val="12"/>
              </w:rPr>
              <w:t>(3)</w:t>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(1) In 2023 the Board eliminated the annual automobile allowance from Mr. Soultz’s compensation and rolled a proportionate share of the allowance into his base compensation, which with his 4% annual increase resulted in a YoY change of 4.6%.</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 xml:space="preserve">(2) In 2023 the Board eliminated the annual automobile allowance from Mr. Boswell’s compensation and rolled a proportionate share of the allowance into his base compensation, which with his 4% annual increase resulted in a YoY change of 5.1%. </w:t>
      </w:r>
    </w:p>
    <w:p>
      <w:pPr>
        <w:pStyle w:val="TextBody"/>
        <w:bidi w:val="0"/>
        <w:spacing w:lineRule="auto" w:line="288" w:before="0" w:after="120"/>
        <w:jc w:val="both"/>
        <w:rPr>
          <w:rFonts w:ascii="Arial;sans-serif" w:hAnsi="Arial;sans-serif"/>
          <w:b w:val="false"/>
          <w:i/>
          <w:color w:val="000000"/>
          <w:sz w:val="16"/>
        </w:rPr>
      </w:pPr>
      <w:r>
        <w:rPr>
          <w:rFonts w:ascii="Arial;sans-serif" w:hAnsi="Arial;sans-serif"/>
          <w:b w:val="false"/>
          <w:i/>
          <w:color w:val="000000"/>
          <w:sz w:val="16"/>
        </w:rPr>
        <w:t>(3) Following a competitive market review and based on individual performance, the Compensation Committee approved this base salary increase for Ms. Shanks in 2023.</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Short Term Incentive Plan</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Our annual STIP rewards employees for achieving critical business and financial goals that are key indicators of operational performance. The Compensation Committee establishes performance goals for the STIP at the beginning of each fiscal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140"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Where minimum threshold performance targets are satisfied, annual incentive payments can range from 0% to 200% of the target award opportunity, based on performance relative to the performance goals, as determined by the Compensation Committee.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2023 STIP Target Award Percentages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Compensation Committee reviews our STIP opportunities each year to ensure that they are competitive. For 2023, the Compensation Committee granted STIP awards to our named executive officers with the target levels expressed as the following percentages of the corresponding base salaries:</w:t>
      </w:r>
    </w:p>
    <w:tbl>
      <w:tblPr>
        <w:tblW w:w="10205" w:type="dxa"/>
        <w:jc w:val="left"/>
        <w:tblInd w:w="0" w:type="dxa"/>
        <w:tblLayout w:type="fixed"/>
        <w:tblCellMar>
          <w:top w:w="28" w:type="dxa"/>
          <w:left w:w="28" w:type="dxa"/>
          <w:bottom w:w="28" w:type="dxa"/>
          <w:right w:w="28" w:type="dxa"/>
        </w:tblCellMar>
      </w:tblPr>
      <w:tblGrid>
        <w:gridCol w:w="584"/>
        <w:gridCol w:w="514"/>
        <w:gridCol w:w="516"/>
        <w:gridCol w:w="1082"/>
        <w:gridCol w:w="1082"/>
        <w:gridCol w:w="1085"/>
        <w:gridCol w:w="1118"/>
        <w:gridCol w:w="1082"/>
        <w:gridCol w:w="1085"/>
        <w:gridCol w:w="599"/>
        <w:gridCol w:w="599"/>
        <w:gridCol w:w="859"/>
      </w:tblGrid>
      <w:tr>
        <w:trPr/>
        <w:tc>
          <w:tcPr>
            <w:tcW w:w="58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Executive Officer</w:t>
            </w:r>
          </w:p>
        </w:tc>
        <w:tc>
          <w:tcPr>
            <w:tcW w:w="3249"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2023 Target Percentage of Base Salary</w:t>
            </w:r>
          </w:p>
        </w:tc>
        <w:tc>
          <w:tcPr>
            <w:tcW w:w="3285"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2022 Target Percentage of Base Salary</w:t>
            </w:r>
          </w:p>
        </w:tc>
        <w:tc>
          <w:tcPr>
            <w:tcW w:w="2057" w:type="dxa"/>
            <w:gridSpan w:val="3"/>
            <w:tcBorders>
              <w:top w:val="single" w:sz="4" w:space="0" w:color="000000"/>
            </w:tcBorders>
            <w:shd w:fill="1D2758"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Year Over Year Change</w:t>
            </w:r>
          </w:p>
        </w:tc>
      </w:tr>
      <w:tr>
        <w:trPr/>
        <w:tc>
          <w:tcPr>
            <w:tcW w:w="16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Bradley L. Soultz</w:t>
            </w:r>
          </w:p>
        </w:tc>
        <w:tc>
          <w:tcPr>
            <w:tcW w:w="3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w:t>
            </w:r>
          </w:p>
        </w:tc>
        <w:tc>
          <w:tcPr>
            <w:tcW w:w="32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150%</w:t>
            </w:r>
          </w:p>
        </w:tc>
        <w:tc>
          <w:tcPr>
            <w:tcW w:w="20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6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D. Boswell</w:t>
            </w:r>
          </w:p>
        </w:tc>
        <w:tc>
          <w:tcPr>
            <w:tcW w:w="3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125%</w:t>
            </w:r>
          </w:p>
        </w:tc>
        <w:tc>
          <w:tcPr>
            <w:tcW w:w="32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125%</w:t>
            </w:r>
          </w:p>
        </w:tc>
        <w:tc>
          <w:tcPr>
            <w:tcW w:w="20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6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8"/>
              </w:rPr>
            </w:pPr>
            <w:r>
              <w:rPr>
                <w:rFonts w:ascii="Arial;sans-serif" w:hAnsi="Arial;sans-serif"/>
                <w:b w:val="false"/>
                <w:color w:val="000000"/>
                <w:sz w:val="18"/>
              </w:rPr>
              <w:t>Hezron T. Lopez</w:t>
            </w:r>
          </w:p>
        </w:tc>
        <w:tc>
          <w:tcPr>
            <w:tcW w:w="3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w:t>
            </w:r>
          </w:p>
        </w:tc>
        <w:tc>
          <w:tcPr>
            <w:tcW w:w="32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w:t>
            </w:r>
          </w:p>
        </w:tc>
        <w:tc>
          <w:tcPr>
            <w:tcW w:w="20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6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8"/>
              </w:rPr>
            </w:pPr>
            <w:r>
              <w:rPr>
                <w:rFonts w:ascii="Arial;sans-serif" w:hAnsi="Arial;sans-serif"/>
                <w:b w:val="false"/>
                <w:color w:val="000000"/>
                <w:sz w:val="18"/>
              </w:rPr>
              <w:t>Felicia K. Gorcyca</w:t>
            </w:r>
          </w:p>
        </w:tc>
        <w:tc>
          <w:tcPr>
            <w:tcW w:w="3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20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16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Graeme Parkes</w:t>
            </w:r>
          </w:p>
        </w:tc>
        <w:tc>
          <w:tcPr>
            <w:tcW w:w="32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32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ind w:left="0" w:right="0" w:firstLine="1173"/>
              <w:jc w:val="center"/>
              <w:rPr>
                <w:rFonts w:ascii="Arial;sans-serif" w:hAnsi="Arial;sans-serif"/>
                <w:b w:val="false"/>
                <w:color w:val="000000"/>
                <w:sz w:val="18"/>
              </w:rPr>
            </w:pPr>
            <w:r>
              <w:rPr>
                <w:rFonts w:ascii="Arial;sans-serif" w:hAnsi="Arial;sans-serif"/>
                <w:b w:val="false"/>
                <w:color w:val="000000"/>
                <w:sz w:val="18"/>
              </w:rPr>
              <w:t>75%</w:t>
            </w:r>
          </w:p>
        </w:tc>
        <w:tc>
          <w:tcPr>
            <w:tcW w:w="20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16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Sally J. Shanks</w:t>
            </w:r>
          </w:p>
        </w:tc>
        <w:tc>
          <w:tcPr>
            <w:tcW w:w="32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28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205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 xml:space="preserve">2023 STIP Performance Goals and Actual Performance </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Compensation Committee undertook a rigorous review and analysis to establish the 2023 performance goals under the STIP. The Committee established the performance levels such that achieving threshold levels would represent minimum acceptable performance and achieving maximum levels would represent outstanding performance. The target performance goals aligned with our annual operating plan.</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Compensation Committee determined the 2023 STIP awards for our named executive officers using the following framework, with the STIP payout based on the Target/Payout Table that appears below:</w:t>
      </w:r>
    </w:p>
    <w:tbl>
      <w:tblPr>
        <w:tblW w:w="8554" w:type="dxa"/>
        <w:jc w:val="center"/>
        <w:tblInd w:w="0" w:type="dxa"/>
        <w:tblLayout w:type="fixed"/>
        <w:tblCellMar>
          <w:top w:w="28" w:type="dxa"/>
          <w:left w:w="28" w:type="dxa"/>
          <w:bottom w:w="28" w:type="dxa"/>
          <w:right w:w="28" w:type="dxa"/>
        </w:tblCellMar>
      </w:tblPr>
      <w:tblGrid>
        <w:gridCol w:w="424"/>
        <w:gridCol w:w="372"/>
        <w:gridCol w:w="374"/>
        <w:gridCol w:w="109"/>
        <w:gridCol w:w="109"/>
        <w:gridCol w:w="109"/>
        <w:gridCol w:w="564"/>
        <w:gridCol w:w="564"/>
        <w:gridCol w:w="566"/>
        <w:gridCol w:w="109"/>
        <w:gridCol w:w="109"/>
        <w:gridCol w:w="109"/>
        <w:gridCol w:w="679"/>
        <w:gridCol w:w="679"/>
        <w:gridCol w:w="681"/>
        <w:gridCol w:w="109"/>
        <w:gridCol w:w="109"/>
        <w:gridCol w:w="109"/>
        <w:gridCol w:w="780"/>
        <w:gridCol w:w="780"/>
        <w:gridCol w:w="1110"/>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Base Salary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X</w:t>
            </w:r>
          </w:p>
        </w:tc>
        <w:tc>
          <w:tcPr>
            <w:tcW w:w="169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Target Percentage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X</w:t>
            </w:r>
          </w:p>
        </w:tc>
        <w:tc>
          <w:tcPr>
            <w:tcW w:w="203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Financial Performance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267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Annual Cash Incentive Award</w:t>
            </w:r>
          </w:p>
        </w:tc>
      </w:tr>
    </w:tbl>
    <w:tbl>
      <w:tblPr>
        <w:tblW w:w="6060" w:type="dxa"/>
        <w:jc w:val="center"/>
        <w:tblInd w:w="0" w:type="dxa"/>
        <w:tblLayout w:type="fixed"/>
        <w:tblCellMar>
          <w:top w:w="28" w:type="dxa"/>
          <w:left w:w="28" w:type="dxa"/>
          <w:bottom w:w="28" w:type="dxa"/>
          <w:right w:w="28" w:type="dxa"/>
        </w:tblCellMar>
      </w:tblPr>
      <w:tblGrid>
        <w:gridCol w:w="1556"/>
        <w:gridCol w:w="1356"/>
        <w:gridCol w:w="1363"/>
        <w:gridCol w:w="516"/>
        <w:gridCol w:w="516"/>
        <w:gridCol w:w="753"/>
      </w:tblGrid>
      <w:tr>
        <w:trPr/>
        <w:tc>
          <w:tcPr>
            <w:tcW w:w="15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6060" w:type="dxa"/>
            <w:gridSpan w:val="6"/>
            <w:tcBorders>
              <w:top w:val="single" w:sz="4" w:space="0" w:color="000000"/>
              <w:left w:val="single" w:sz="4" w:space="0" w:color="000000"/>
              <w:right w:val="single" w:sz="4" w:space="0" w:color="000000"/>
            </w:tcBorders>
            <w:shd w:fill="002060"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STIP Target/Payout Table</w:t>
            </w:r>
          </w:p>
        </w:tc>
      </w:tr>
      <w:tr>
        <w:trPr/>
        <w:tc>
          <w:tcPr>
            <w:tcW w:w="4275" w:type="dxa"/>
            <w:gridSpan w:val="3"/>
            <w:tcBorders>
              <w:top w:val="single" w:sz="4" w:space="0" w:color="000000"/>
              <w:left w:val="single" w:sz="4" w:space="0" w:color="000000"/>
            </w:tcBorders>
            <w:shd w:fill="002060"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Financial Performance Achievement Percentage</w:t>
            </w:r>
          </w:p>
        </w:tc>
        <w:tc>
          <w:tcPr>
            <w:tcW w:w="1785" w:type="dxa"/>
            <w:gridSpan w:val="3"/>
            <w:tcBorders>
              <w:top w:val="single" w:sz="4" w:space="0" w:color="000000"/>
              <w:left w:val="single" w:sz="4" w:space="0" w:color="000000"/>
              <w:right w:val="single" w:sz="4" w:space="0" w:color="000000"/>
            </w:tcBorders>
            <w:shd w:fill="002060"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Payout Percentage</w:t>
            </w:r>
          </w:p>
        </w:tc>
      </w:tr>
      <w:tr>
        <w:trPr/>
        <w:tc>
          <w:tcPr>
            <w:tcW w:w="42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Below 90%</w:t>
            </w:r>
          </w:p>
        </w:tc>
        <w:tc>
          <w:tcPr>
            <w:tcW w:w="17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42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90%</w:t>
            </w:r>
          </w:p>
        </w:tc>
        <w:tc>
          <w:tcPr>
            <w:tcW w:w="17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r>
      <w:tr>
        <w:trPr/>
        <w:tc>
          <w:tcPr>
            <w:tcW w:w="42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17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42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Above or equal to 120%</w:t>
            </w:r>
          </w:p>
        </w:tc>
        <w:tc>
          <w:tcPr>
            <w:tcW w:w="17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bl>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Annual Cash Earned</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For 2023, the Compensation Committee established the following financial goals and payout levels under the STIP:</w:t>
      </w:r>
    </w:p>
    <w:tbl>
      <w:tblPr>
        <w:tblW w:w="10205" w:type="dxa"/>
        <w:jc w:val="left"/>
        <w:tblInd w:w="0" w:type="dxa"/>
        <w:tblLayout w:type="fixed"/>
        <w:tblCellMar>
          <w:top w:w="28" w:type="dxa"/>
          <w:left w:w="28" w:type="dxa"/>
          <w:bottom w:w="28" w:type="dxa"/>
          <w:right w:w="28" w:type="dxa"/>
        </w:tblCellMar>
      </w:tblPr>
      <w:tblGrid>
        <w:gridCol w:w="552"/>
        <w:gridCol w:w="456"/>
        <w:gridCol w:w="460"/>
        <w:gridCol w:w="315"/>
        <w:gridCol w:w="315"/>
        <w:gridCol w:w="316"/>
        <w:gridCol w:w="2387"/>
        <w:gridCol w:w="2222"/>
        <w:gridCol w:w="2229"/>
        <w:gridCol w:w="278"/>
        <w:gridCol w:w="278"/>
        <w:gridCol w:w="397"/>
      </w:tblGrid>
      <w:tr>
        <w:trPr/>
        <w:tc>
          <w:tcPr>
            <w:tcW w:w="5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Measure</w:t>
            </w:r>
          </w:p>
        </w:tc>
        <w:tc>
          <w:tcPr>
            <w:tcW w:w="9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Weighting</w:t>
            </w:r>
          </w:p>
        </w:tc>
        <w:tc>
          <w:tcPr>
            <w:tcW w:w="683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Rationale for Measure</w:t>
            </w:r>
          </w:p>
        </w:tc>
        <w:tc>
          <w:tcPr>
            <w:tcW w:w="953" w:type="dxa"/>
            <w:gridSpan w:val="3"/>
            <w:tcBorders/>
            <w:shd w:fill="1D2758" w:val="clear"/>
            <w:tcMar>
              <w:top w:w="0" w:type="dxa"/>
              <w:left w:w="0" w:type="dxa"/>
              <w:bottom w:w="0" w:type="dxa"/>
              <w:right w:w="0" w:type="dxa"/>
            </w:tcMar>
            <w:vAlign w:val="center"/>
          </w:tcPr>
          <w:p>
            <w:pPr>
              <w:pStyle w:val="TableContents"/>
              <w:bidi w:val="0"/>
              <w:spacing w:lineRule="auto" w:line="240" w:before="53" w:after="30"/>
              <w:jc w:val="center"/>
              <w:rPr/>
            </w:pPr>
            <w:r>
              <w:rPr>
                <w:rFonts w:ascii="Arial;sans-serif" w:hAnsi="Arial;sans-serif"/>
                <w:b/>
                <w:color w:val="FFFFFF"/>
                <w:sz w:val="18"/>
              </w:rPr>
              <w:t>Payout Range</w:t>
            </w:r>
            <w:r>
              <w:rPr>
                <w:rFonts w:ascii="Arial;sans-serif" w:hAnsi="Arial;sans-serif"/>
                <w:b/>
                <w:color w:val="FFFFFF"/>
                <w:sz w:val="12"/>
              </w:rPr>
              <w:t>(2)</w:t>
            </w:r>
          </w:p>
        </w:tc>
      </w:tr>
      <w:tr>
        <w:trPr/>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946"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rFonts w:ascii="Arial;sans-serif" w:hAnsi="Arial;sans-serif"/>
                <w:b w:val="false"/>
                <w:color w:val="000000"/>
                <w:sz w:val="18"/>
              </w:rPr>
              <w:t>70%</w:t>
            </w:r>
            <w:r>
              <w:rPr>
                <w:rFonts w:ascii="Arial;sans-serif" w:hAnsi="Arial;sans-serif"/>
                <w:b w:val="false"/>
                <w:color w:val="000000"/>
                <w:sz w:val="12"/>
              </w:rPr>
              <w:t>(1)</w:t>
            </w:r>
          </w:p>
        </w:tc>
        <w:tc>
          <w:tcPr>
            <w:tcW w:w="683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Adjusted EBITDA reflects our operating performance and is a key measure for our investors. We calculate the measure on a semi-annual basis (with the first-half and second-half performance equally weighted at 35%).</w:t>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 - 200%</w:t>
            </w:r>
          </w:p>
        </w:tc>
      </w:tr>
      <w:tr>
        <w:trPr/>
        <w:tc>
          <w:tcPr>
            <w:tcW w:w="146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Q4 Core Lease Revenue Delivered</w:t>
            </w:r>
          </w:p>
        </w:tc>
        <w:tc>
          <w:tcPr>
            <w:tcW w:w="94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683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Q4 Core Lease Revenue Delivered provides for clearer alignment and motivation to drive run-rate revenues headed into the subsequent plan year. The measure is derived coincidental with the annual budget process and represents a more stable, predictable and visible metric.</w:t>
            </w:r>
          </w:p>
        </w:tc>
        <w:tc>
          <w:tcPr>
            <w:tcW w:w="9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 - 200%</w:t>
            </w:r>
          </w:p>
        </w:tc>
      </w:tr>
    </w:tbl>
    <w:p>
      <w:pPr>
        <w:pStyle w:val="TextBody"/>
        <w:bidi w:val="0"/>
        <w:spacing w:lineRule="auto" w:line="240" w:before="2" w:after="283"/>
        <w:jc w:val="left"/>
        <w:rPr>
          <w:rFonts w:ascii="Arial;sans-serif" w:hAnsi="Arial;sans-serif"/>
          <w:b w:val="false"/>
          <w:i/>
          <w:color w:val="000000"/>
          <w:sz w:val="16"/>
        </w:rPr>
      </w:pPr>
      <w:r>
        <w:rPr>
          <w:rFonts w:ascii="Arial;sans-serif" w:hAnsi="Arial;sans-serif"/>
          <w:b w:val="false"/>
          <w:i/>
          <w:color w:val="000000"/>
          <w:sz w:val="16"/>
        </w:rPr>
        <w:t>(1) The weighting percentage may be lower for certain employees at the vice president level and below.</w:t>
      </w:r>
    </w:p>
    <w:p>
      <w:pPr>
        <w:pStyle w:val="TextBody"/>
        <w:bidi w:val="0"/>
        <w:spacing w:lineRule="auto" w:line="240" w:before="0" w:after="240"/>
        <w:jc w:val="left"/>
        <w:rPr>
          <w:rFonts w:ascii="Arial;sans-serif" w:hAnsi="Arial;sans-serif"/>
          <w:b w:val="false"/>
          <w:i/>
          <w:color w:val="000000"/>
          <w:sz w:val="16"/>
        </w:rPr>
      </w:pPr>
      <w:r>
        <w:rPr>
          <w:rFonts w:ascii="Arial;sans-serif" w:hAnsi="Arial;sans-serif"/>
          <w:b w:val="false"/>
          <w:i/>
          <w:color w:val="000000"/>
          <w:sz w:val="16"/>
        </w:rPr>
        <w:t>(2) Performance below 90% of the target performance goals results in a 0% payout.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141"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The threshold, target and maximum performance and payout opportunities under the 2023 STIP (subject to interpolation between points), along with the actual performance achieved and related payout percentage, are set forth below: </w:t>
      </w:r>
    </w:p>
    <w:tbl>
      <w:tblPr>
        <w:tblW w:w="10205" w:type="dxa"/>
        <w:jc w:val="left"/>
        <w:tblInd w:w="0" w:type="dxa"/>
        <w:tblLayout w:type="fixed"/>
        <w:tblCellMar>
          <w:top w:w="28" w:type="dxa"/>
          <w:left w:w="28" w:type="dxa"/>
          <w:bottom w:w="28" w:type="dxa"/>
          <w:right w:w="28" w:type="dxa"/>
        </w:tblCellMar>
      </w:tblPr>
      <w:tblGrid>
        <w:gridCol w:w="1180"/>
        <w:gridCol w:w="1036"/>
        <w:gridCol w:w="1050"/>
        <w:gridCol w:w="315"/>
        <w:gridCol w:w="315"/>
        <w:gridCol w:w="316"/>
        <w:gridCol w:w="320"/>
        <w:gridCol w:w="320"/>
        <w:gridCol w:w="321"/>
        <w:gridCol w:w="234"/>
        <w:gridCol w:w="232"/>
        <w:gridCol w:w="233"/>
        <w:gridCol w:w="315"/>
        <w:gridCol w:w="315"/>
        <w:gridCol w:w="316"/>
        <w:gridCol w:w="224"/>
        <w:gridCol w:w="224"/>
        <w:gridCol w:w="228"/>
        <w:gridCol w:w="593"/>
        <w:gridCol w:w="593"/>
        <w:gridCol w:w="595"/>
        <w:gridCol w:w="271"/>
        <w:gridCol w:w="271"/>
        <w:gridCol w:w="388"/>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Weighting</w:t>
            </w:r>
          </w:p>
        </w:tc>
        <w:tc>
          <w:tcPr>
            <w:tcW w:w="96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Threshold</w:t>
            </w:r>
          </w:p>
        </w:tc>
        <w:tc>
          <w:tcPr>
            <w:tcW w:w="699"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 xml:space="preserve">Target </w:t>
            </w:r>
          </w:p>
        </w:tc>
        <w:tc>
          <w:tcPr>
            <w:tcW w:w="94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Maximum</w:t>
            </w:r>
          </w:p>
        </w:tc>
        <w:tc>
          <w:tcPr>
            <w:tcW w:w="676"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Actual</w:t>
            </w:r>
          </w:p>
        </w:tc>
        <w:tc>
          <w:tcPr>
            <w:tcW w:w="178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 of Target Achieved</w:t>
            </w:r>
          </w:p>
        </w:tc>
        <w:tc>
          <w:tcPr>
            <w:tcW w:w="93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Payout %</w:t>
            </w:r>
          </w:p>
        </w:tc>
      </w:tr>
      <w:tr>
        <w:trPr/>
        <w:tc>
          <w:tcPr>
            <w:tcW w:w="3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Payout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 First Half ($ millions)</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$396.8</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$440.9</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$529.1</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$507.7</w:t>
            </w:r>
          </w:p>
        </w:tc>
        <w:tc>
          <w:tcPr>
            <w:tcW w:w="1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115.2%</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175.7%</w:t>
            </w:r>
          </w:p>
        </w:tc>
      </w:tr>
      <w:tr>
        <w:trPr/>
        <w:tc>
          <w:tcPr>
            <w:tcW w:w="3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 – Second Half ($ millions)</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$501.7</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$557.4</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$668.9</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$552.6</w:t>
            </w:r>
          </w:p>
        </w:tc>
        <w:tc>
          <w:tcPr>
            <w:tcW w:w="1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99.1%</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95.7%</w:t>
            </w:r>
          </w:p>
        </w:tc>
      </w:tr>
      <w:tr>
        <w:trPr/>
        <w:tc>
          <w:tcPr>
            <w:tcW w:w="3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Q4 Core Lease Revenue Delivered </w:t>
              <w:br/>
              <w:t>($ millions)</w:t>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$446.8</w:t>
            </w:r>
          </w:p>
        </w:tc>
        <w:tc>
          <w:tcPr>
            <w:tcW w:w="6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$496.5</w:t>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$595.8</w:t>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$471.2</w:t>
            </w:r>
          </w:p>
        </w:tc>
        <w:tc>
          <w:tcPr>
            <w:tcW w:w="1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94.9%</w:t>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74.5%</w:t>
            </w:r>
          </w:p>
        </w:tc>
      </w:tr>
      <w:tr>
        <w:trPr/>
        <w:tc>
          <w:tcPr>
            <w:tcW w:w="10205"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Weighted Average Payout: 117.34%</w:t>
            </w:r>
          </w:p>
        </w:tc>
      </w:tr>
    </w:tbl>
    <w:p>
      <w:pPr>
        <w:pStyle w:val="TextBody"/>
        <w:bidi w:val="0"/>
        <w:spacing w:lineRule="auto" w:line="288" w:before="2" w:after="60"/>
        <w:jc w:val="both"/>
        <w:rPr>
          <w:rFonts w:ascii="Arial;sans-serif" w:hAnsi="Arial;sans-serif"/>
          <w:b w:val="false"/>
          <w:color w:val="000000"/>
          <w:sz w:val="18"/>
        </w:rPr>
      </w:pPr>
      <w:r>
        <w:rPr>
          <w:rFonts w:ascii="Arial;sans-serif" w:hAnsi="Arial;sans-serif"/>
          <w:b w:val="false"/>
          <w:color w:val="000000"/>
          <w:sz w:val="18"/>
        </w:rPr>
        <w:t xml:space="preserve">Based on the achievement of the 2023 financial performance goals, the Compensation Committee approved the following STIP awards that our NEOs who were serving as of the last day of 2023 earned for 2023. </w:t>
      </w:r>
    </w:p>
    <w:tbl>
      <w:tblPr>
        <w:tblW w:w="6747" w:type="dxa"/>
        <w:jc w:val="left"/>
        <w:tblInd w:w="0" w:type="dxa"/>
        <w:tblLayout w:type="fixed"/>
        <w:tblCellMar>
          <w:top w:w="28" w:type="dxa"/>
          <w:left w:w="28" w:type="dxa"/>
          <w:bottom w:w="28" w:type="dxa"/>
          <w:right w:w="28" w:type="dxa"/>
        </w:tblCellMar>
      </w:tblPr>
      <w:tblGrid>
        <w:gridCol w:w="607"/>
        <w:gridCol w:w="535"/>
        <w:gridCol w:w="537"/>
        <w:gridCol w:w="714"/>
        <w:gridCol w:w="714"/>
        <w:gridCol w:w="716"/>
        <w:gridCol w:w="574"/>
        <w:gridCol w:w="574"/>
        <w:gridCol w:w="576"/>
        <w:gridCol w:w="351"/>
        <w:gridCol w:w="351"/>
        <w:gridCol w:w="498"/>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1D2758"/>
              <w:left w:val="single" w:sz="8" w:space="0" w:color="1D2758"/>
            </w:tcBorders>
            <w:shd w:fill="1D2758" w:val="clear"/>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Executive Officer</w:t>
            </w:r>
          </w:p>
        </w:tc>
        <w:tc>
          <w:tcPr>
            <w:tcW w:w="2144" w:type="dxa"/>
            <w:gridSpan w:val="3"/>
            <w:tcBorders>
              <w:top w:val="single" w:sz="8" w:space="0" w:color="1D2758"/>
              <w:left w:val="single" w:sz="8" w:space="0" w:color="1D2758"/>
            </w:tcBorders>
            <w:shd w:fill="1D275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Target STIP Opportunity</w:t>
            </w:r>
          </w:p>
        </w:tc>
        <w:tc>
          <w:tcPr>
            <w:tcW w:w="1724" w:type="dxa"/>
            <w:gridSpan w:val="3"/>
            <w:tcBorders>
              <w:top w:val="single" w:sz="8" w:space="0" w:color="1D2758"/>
              <w:left w:val="single" w:sz="8" w:space="0" w:color="1D2758"/>
            </w:tcBorders>
            <w:shd w:fill="1D275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Payout % of Target</w:t>
            </w:r>
          </w:p>
        </w:tc>
        <w:tc>
          <w:tcPr>
            <w:tcW w:w="1200" w:type="dxa"/>
            <w:gridSpan w:val="3"/>
            <w:tcBorders>
              <w:top w:val="single" w:sz="8" w:space="0" w:color="1D2758"/>
              <w:left w:val="single" w:sz="8" w:space="0" w:color="1D2758"/>
            </w:tcBorders>
            <w:shd w:fill="1D2758" w:val="clear"/>
            <w:tcMar>
              <w:top w:w="3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STIP Earned</w:t>
            </w:r>
          </w:p>
        </w:tc>
      </w:tr>
      <w:tr>
        <w:trPr/>
        <w:tc>
          <w:tcPr>
            <w:tcW w:w="1679" w:type="dxa"/>
            <w:gridSpan w:val="3"/>
            <w:tcBorders>
              <w:top w:val="single" w:sz="8" w:space="0" w:color="1D2758"/>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Bradley L. Soultz</w:t>
            </w:r>
          </w:p>
        </w:tc>
        <w:tc>
          <w:tcPr>
            <w:tcW w:w="2144" w:type="dxa"/>
            <w:gridSpan w:val="3"/>
            <w:tcBorders>
              <w:top w:val="single" w:sz="8" w:space="0" w:color="1D2758"/>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$1,469,160</w:t>
            </w:r>
          </w:p>
        </w:tc>
        <w:tc>
          <w:tcPr>
            <w:tcW w:w="1724" w:type="dxa"/>
            <w:gridSpan w:val="3"/>
            <w:tcBorders>
              <w:top w:val="single" w:sz="8" w:space="0" w:color="1D2758"/>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117.34%</w:t>
            </w:r>
          </w:p>
        </w:tc>
        <w:tc>
          <w:tcPr>
            <w:tcW w:w="1200" w:type="dxa"/>
            <w:gridSpan w:val="3"/>
            <w:tcBorders>
              <w:top w:val="single" w:sz="8" w:space="0" w:color="1D2758"/>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$1,723,971</w:t>
            </w:r>
          </w:p>
        </w:tc>
      </w:tr>
      <w:tr>
        <w:trPr/>
        <w:tc>
          <w:tcPr>
            <w:tcW w:w="1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D. Boswell</w:t>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$819,534</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117.34%</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$961,674</w:t>
            </w:r>
          </w:p>
        </w:tc>
      </w:tr>
      <w:tr>
        <w:trPr/>
        <w:tc>
          <w:tcPr>
            <w:tcW w:w="1679" w:type="dxa"/>
            <w:gridSpan w:val="3"/>
            <w:tcBorders>
              <w:top w:val="single" w:sz="8" w:space="0" w:color="1D2758"/>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Hezron T. Lopez</w:t>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$491,400</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117.34%</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$576,628</w:t>
            </w:r>
          </w:p>
        </w:tc>
      </w:tr>
      <w:tr>
        <w:trPr/>
        <w:tc>
          <w:tcPr>
            <w:tcW w:w="1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Felicia K. Gorcyca</w:t>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$337,500</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117.34%</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$231,021</w:t>
            </w:r>
            <w:r>
              <w:rPr>
                <w:rFonts w:ascii="Arial;sans-serif" w:hAnsi="Arial;sans-serif"/>
                <w:b w:val="false"/>
                <w:color w:val="000000"/>
                <w:sz w:val="12"/>
              </w:rPr>
              <w:t>(1)</w:t>
            </w:r>
          </w:p>
        </w:tc>
      </w:tr>
      <w:tr>
        <w:trPr/>
        <w:tc>
          <w:tcPr>
            <w:tcW w:w="1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Graeme Parkes</w:t>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$327,600</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117.34%</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$384,419</w:t>
            </w:r>
          </w:p>
        </w:tc>
      </w:tr>
      <w:tr>
        <w:trPr/>
        <w:tc>
          <w:tcPr>
            <w:tcW w:w="1679" w:type="dxa"/>
            <w:gridSpan w:val="3"/>
            <w:tcBorders>
              <w:top w:val="single" w:sz="8" w:space="0" w:color="1D2758"/>
              <w:bottom w:val="single" w:sz="8" w:space="0" w:color="1D2758"/>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Sally J. Shanks</w:t>
            </w:r>
          </w:p>
        </w:tc>
        <w:tc>
          <w:tcPr>
            <w:tcW w:w="21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$205,000</w:t>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117.34%</w:t>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$240,555</w:t>
            </w:r>
          </w:p>
        </w:tc>
      </w:tr>
    </w:tbl>
    <w:p>
      <w:pPr>
        <w:pStyle w:val="TextBody"/>
        <w:bidi w:val="0"/>
        <w:spacing w:lineRule="auto" w:line="288" w:before="0" w:after="240"/>
        <w:jc w:val="left"/>
        <w:rPr>
          <w:rFonts w:ascii="Arial;sans-serif" w:hAnsi="Arial;sans-serif"/>
          <w:b w:val="false"/>
          <w:i/>
          <w:color w:val="000000"/>
          <w:sz w:val="16"/>
        </w:rPr>
      </w:pPr>
      <w:r>
        <w:rPr>
          <w:rFonts w:ascii="Arial;sans-serif" w:hAnsi="Arial;sans-serif"/>
          <w:b w:val="false"/>
          <w:i/>
          <w:color w:val="000000"/>
          <w:sz w:val="16"/>
        </w:rPr>
        <w:t>(1) Ms. Gorcyca’s payout is pro-rated based on her hire date.</w:t>
      </w:r>
    </w:p>
    <w:p>
      <w:pPr>
        <w:pStyle w:val="TextBody"/>
        <w:bidi w:val="0"/>
        <w:spacing w:lineRule="auto" w:line="288" w:before="0" w:after="60"/>
        <w:jc w:val="left"/>
        <w:rPr>
          <w:rFonts w:ascii="Arial;sans-serif" w:hAnsi="Arial;sans-serif"/>
          <w:b/>
          <w:i/>
          <w:color w:val="1D2758"/>
          <w:sz w:val="18"/>
        </w:rPr>
      </w:pPr>
      <w:r>
        <w:rPr>
          <w:rFonts w:ascii="Arial;sans-serif" w:hAnsi="Arial;sans-serif"/>
          <w:b/>
          <w:i/>
          <w:color w:val="1D2758"/>
          <w:sz w:val="18"/>
        </w:rPr>
        <w:t>2023 Long-Term Incentive Awards</w:t>
      </w:r>
    </w:p>
    <w:p>
      <w:pPr>
        <w:pStyle w:val="TextBody"/>
        <w:bidi w:val="0"/>
        <w:spacing w:before="0" w:after="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For 2023, for our annual grants, each of our named executive officers received a long-term equity incentive target grant denoted in terms of a dollar value, which we allocated between Performance-Based RSUs and Time-Based RSUs. We provide details on the types of equity awards we granted in the table below. </w:t>
      </w:r>
    </w:p>
    <w:tbl>
      <w:tblPr>
        <w:tblW w:w="10205" w:type="dxa"/>
        <w:jc w:val="center"/>
        <w:tblInd w:w="0" w:type="dxa"/>
        <w:tblLayout w:type="fixed"/>
        <w:tblCellMar>
          <w:top w:w="28" w:type="dxa"/>
          <w:left w:w="28" w:type="dxa"/>
          <w:bottom w:w="28" w:type="dxa"/>
          <w:right w:w="28" w:type="dxa"/>
        </w:tblCellMar>
      </w:tblPr>
      <w:tblGrid>
        <w:gridCol w:w="745"/>
        <w:gridCol w:w="654"/>
        <w:gridCol w:w="631"/>
        <w:gridCol w:w="742"/>
        <w:gridCol w:w="742"/>
        <w:gridCol w:w="744"/>
        <w:gridCol w:w="1956"/>
        <w:gridCol w:w="1651"/>
        <w:gridCol w:w="2340"/>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Annual Equity Award</w:t>
            </w:r>
          </w:p>
        </w:tc>
        <w:tc>
          <w:tcPr>
            <w:tcW w:w="2228"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Target Weighting</w:t>
            </w:r>
          </w:p>
        </w:tc>
        <w:tc>
          <w:tcPr>
            <w:tcW w:w="594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Rationale and Key Features</w:t>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Performance-Based RSUs</w:t>
            </w:r>
          </w:p>
        </w:tc>
        <w:tc>
          <w:tcPr>
            <w:tcW w:w="2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 for CEO, CFO, CLO and CHRO, 65% for all other NEOs</w:t>
            </w:r>
          </w:p>
        </w:tc>
        <w:tc>
          <w:tcPr>
            <w:tcW w:w="5947" w:type="dxa"/>
            <w:gridSpan w:val="3"/>
            <w:tcBorders/>
            <w:tcMar>
              <w:top w:w="0" w:type="dxa"/>
              <w:left w:w="0" w:type="dxa"/>
              <w:bottom w:w="0" w:type="dxa"/>
              <w:right w:w="0" w:type="dxa"/>
            </w:tcMar>
            <w:vAlign w:val="center"/>
          </w:tcPr>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8"/>
              </w:rPr>
              <w:t xml:space="preserve">Incentivize NEOs to achieve specific measurable stock price performance over a three-year performance period. </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8"/>
              </w:rPr>
              <w:t xml:space="preserve">Performance will be measured relative to constituent companies in the S&amp;P MidCap 400 Index as of the date of grant. </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8"/>
              </w:rPr>
              <w:t>Earned shares vest and are issued at the end of the performance cycle and range from 0% for below threshold performance to 200% of the target number of shares for maximum performance.</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8"/>
              </w:rPr>
              <w:t>Additional Performance-Based RSU grants made to the NEOs had the effect of increasing the Performance-Based mix of the grants beyond 70% and 65%.</w:t>
            </w:r>
          </w:p>
        </w:tc>
      </w:tr>
      <w:tr>
        <w:trPr/>
        <w:tc>
          <w:tcPr>
            <w:tcW w:w="2030" w:type="dxa"/>
            <w:gridSpan w:val="3"/>
            <w:tcBorders>
              <w:top w:val="single" w:sz="4" w:space="0" w:color="000000"/>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Time-Based RSUs</w:t>
            </w:r>
          </w:p>
        </w:tc>
        <w:tc>
          <w:tcPr>
            <w:tcW w:w="2228" w:type="dxa"/>
            <w:gridSpan w:val="3"/>
            <w:tcBorders>
              <w:top w:val="single" w:sz="4" w:space="0" w:color="000000"/>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 for CEO, CFO,CLO and CHRO, 35% for all other NEOs</w:t>
            </w:r>
          </w:p>
        </w:tc>
        <w:tc>
          <w:tcPr>
            <w:tcW w:w="5947" w:type="dxa"/>
            <w:gridSpan w:val="3"/>
            <w:tcBorders>
              <w:top w:val="single" w:sz="4" w:space="0" w:color="000000"/>
              <w:bottom w:val="single" w:sz="4" w:space="0" w:color="1D2758"/>
            </w:tcBorders>
            <w:tcMar>
              <w:top w:w="30" w:type="dxa"/>
              <w:left w:w="0" w:type="dxa"/>
              <w:bottom w:w="30" w:type="dxa"/>
              <w:right w:w="0" w:type="dxa"/>
            </w:tcMar>
            <w:vAlign w:val="center"/>
          </w:tcPr>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8"/>
              </w:rPr>
              <w:t>Align pay and Company performance as reflected in our stock price.</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8"/>
              </w:rPr>
              <w:t xml:space="preserve">Encourage retention of our executive officers’ services and promote ownership by our executives in Company stock. </w:t>
            </w:r>
          </w:p>
          <w:p>
            <w:pPr>
              <w:pStyle w:val="TableContents"/>
              <w:bidi w:val="0"/>
              <w:spacing w:lineRule="auto" w:line="240" w:before="120" w:after="120"/>
              <w:ind w:left="0" w:right="0" w:hanging="360"/>
              <w:jc w:val="both"/>
              <w:rPr/>
            </w:pPr>
            <w:r>
              <w:rPr>
                <w:color w:val="000000"/>
              </w:rPr>
              <w:t>•</w:t>
            </w:r>
            <w:r>
              <w:rPr>
                <w:rFonts w:ascii="Arial;sans-serif" w:hAnsi="Arial;sans-serif"/>
                <w:b w:val="false"/>
                <w:color w:val="000000"/>
                <w:sz w:val="18"/>
              </w:rPr>
              <w:t>Time-Based RSUs vest in one-fourth installments at the end of each of the first four years following grant.</w:t>
            </w:r>
          </w:p>
        </w:tc>
      </w:tr>
    </w:tbl>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The Compensation Committee annually considers various alternative performance-based metrics including, but not limited to, financial return metrics such as ROIC. We believe sustained and improving financial returns correlate to long-term stockholder value creation. While ROIC is a critical financial metric for the Company and underpins our human and financial capital allocation decisions, we believe rTSR reflects both the effect of sustained and improving financial returns along with continued robust growth. The Performance-Based RSUs granted in 2023 are based solely on our TSR performance relative to the constituents in the S&amp;P 400 MidCap Index. We believe that relative TSR aligns our NEOs’ long-term incentive compensation with our stockholders. In addition to relative TSR, the Committee also considers key financial metrics (e.g., ROIC, EBITDA) when sizing the awards for NEOs as the growth and improvement in these metrics is highly correlated to our stock price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142"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Below sets forth the 2023 LTIP performance thresholds (based on relative Total Shareholder Return) relative to constituent companies in the S&amp;P MidCap 400 Index and corresponding payout for Performance-Based RSUs.</w:t>
      </w:r>
    </w:p>
    <w:tbl>
      <w:tblPr>
        <w:tblW w:w="5023" w:type="dxa"/>
        <w:jc w:val="center"/>
        <w:tblInd w:w="0" w:type="dxa"/>
        <w:tblLayout w:type="fixed"/>
        <w:tblCellMar>
          <w:top w:w="28" w:type="dxa"/>
          <w:left w:w="28" w:type="dxa"/>
          <w:bottom w:w="28" w:type="dxa"/>
          <w:right w:w="28" w:type="dxa"/>
        </w:tblCellMar>
      </w:tblPr>
      <w:tblGrid>
        <w:gridCol w:w="1174"/>
        <w:gridCol w:w="1030"/>
        <w:gridCol w:w="1035"/>
        <w:gridCol w:w="522"/>
        <w:gridCol w:w="522"/>
        <w:gridCol w:w="740"/>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left w:val="single" w:sz="4" w:space="0" w:color="000000"/>
            </w:tcBorders>
            <w:shd w:fill="002060"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Financial Performance Achievement</w:t>
            </w:r>
          </w:p>
        </w:tc>
        <w:tc>
          <w:tcPr>
            <w:tcW w:w="1784" w:type="dxa"/>
            <w:gridSpan w:val="3"/>
            <w:tcBorders>
              <w:top w:val="single" w:sz="4" w:space="0" w:color="000000"/>
              <w:left w:val="single" w:sz="4" w:space="0" w:color="000000"/>
              <w:right w:val="single" w:sz="4" w:space="0" w:color="000000"/>
            </w:tcBorders>
            <w:shd w:fill="002060" w:val="clear"/>
            <w:tcMar>
              <w:top w:w="30" w:type="dxa"/>
              <w:bottom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Payout Percentage</w:t>
            </w:r>
          </w:p>
        </w:tc>
      </w:tr>
      <w:tr>
        <w:trPr/>
        <w:tc>
          <w:tcPr>
            <w:tcW w:w="32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&lt;25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w:t>
            </w:r>
          </w:p>
        </w:tc>
      </w:tr>
      <w:tr>
        <w:trPr/>
        <w:tc>
          <w:tcPr>
            <w:tcW w:w="32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25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 (Threshold)</w:t>
            </w:r>
          </w:p>
        </w:tc>
      </w:tr>
      <w:tr>
        <w:trPr/>
        <w:tc>
          <w:tcPr>
            <w:tcW w:w="32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50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100% (Target)</w:t>
            </w:r>
          </w:p>
        </w:tc>
      </w:tr>
      <w:tr>
        <w:trPr/>
        <w:tc>
          <w:tcPr>
            <w:tcW w:w="32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85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w:t>
            </w:r>
          </w:p>
        </w:tc>
        <w:tc>
          <w:tcPr>
            <w:tcW w:w="17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 (Maximum)</w:t>
            </w:r>
          </w:p>
        </w:tc>
      </w:tr>
      <w:tr>
        <w:trPr/>
        <w:tc>
          <w:tcPr>
            <w:tcW w:w="32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&gt;85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w:t>
            </w:r>
          </w:p>
        </w:tc>
        <w:tc>
          <w:tcPr>
            <w:tcW w:w="17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200%</w:t>
            </w:r>
          </w:p>
        </w:tc>
      </w:tr>
    </w:tbl>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Compensation Committee approved the following grants of Performance-Based RSUs and Time-Based RSUs to our named executive officers for 2023:</w:t>
      </w:r>
    </w:p>
    <w:tbl>
      <w:tblPr>
        <w:tblW w:w="10043" w:type="dxa"/>
        <w:jc w:val="center"/>
        <w:tblInd w:w="0" w:type="dxa"/>
        <w:tblLayout w:type="fixed"/>
        <w:tblCellMar>
          <w:top w:w="28" w:type="dxa"/>
          <w:left w:w="28" w:type="dxa"/>
          <w:bottom w:w="28" w:type="dxa"/>
          <w:right w:w="28" w:type="dxa"/>
        </w:tblCellMar>
      </w:tblPr>
      <w:tblGrid>
        <w:gridCol w:w="609"/>
        <w:gridCol w:w="533"/>
        <w:gridCol w:w="537"/>
        <w:gridCol w:w="534"/>
        <w:gridCol w:w="534"/>
        <w:gridCol w:w="536"/>
        <w:gridCol w:w="319"/>
        <w:gridCol w:w="319"/>
        <w:gridCol w:w="321"/>
        <w:gridCol w:w="319"/>
        <w:gridCol w:w="319"/>
        <w:gridCol w:w="321"/>
        <w:gridCol w:w="299"/>
        <w:gridCol w:w="299"/>
        <w:gridCol w:w="301"/>
        <w:gridCol w:w="522"/>
        <w:gridCol w:w="522"/>
        <w:gridCol w:w="531"/>
        <w:gridCol w:w="299"/>
        <w:gridCol w:w="299"/>
        <w:gridCol w:w="301"/>
        <w:gridCol w:w="231"/>
        <w:gridCol w:w="1070"/>
        <w:gridCol w:w="168"/>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79" w:type="dxa"/>
            <w:gridSpan w:val="3"/>
            <w:vMerge w:val="restart"/>
            <w:tcBorders>
              <w:top w:val="single" w:sz="8" w:space="0" w:color="0A2299"/>
              <w:left w:val="single" w:sz="8" w:space="0" w:color="0A2299"/>
            </w:tcBorders>
            <w:shd w:fill="00205B" w:val="clear"/>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Executive officer</w:t>
            </w:r>
          </w:p>
        </w:tc>
        <w:tc>
          <w:tcPr>
            <w:tcW w:w="5996" w:type="dxa"/>
            <w:gridSpan w:val="15"/>
            <w:tcBorders>
              <w:top w:val="single" w:sz="8" w:space="0" w:color="0A2299"/>
            </w:tcBorders>
            <w:shd w:fill="0020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Performance-Based RSUs</w:t>
            </w:r>
          </w:p>
        </w:tc>
        <w:tc>
          <w:tcPr>
            <w:tcW w:w="2368" w:type="dxa"/>
            <w:gridSpan w:val="6"/>
            <w:tcBorders>
              <w:top w:val="single" w:sz="8" w:space="0" w:color="0A2299"/>
              <w:right w:val="single" w:sz="8" w:space="0" w:color="0A2299"/>
            </w:tcBorders>
            <w:shd w:fill="00205B"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Time-Based RSUs</w:t>
            </w:r>
          </w:p>
        </w:tc>
      </w:tr>
      <w:tr>
        <w:trPr/>
        <w:tc>
          <w:tcPr>
            <w:tcW w:w="1679" w:type="dxa"/>
            <w:gridSpan w:val="3"/>
            <w:vMerge w:val="continue"/>
            <w:tcBorders>
              <w:top w:val="single" w:sz="8" w:space="0" w:color="0A2299"/>
              <w:left w:val="single" w:sz="8" w:space="0" w:color="0A2299"/>
            </w:tcBorders>
            <w:shd w:fill="00205B" w:val="clear"/>
            <w:tcMar>
              <w:top w:w="30" w:type="dxa"/>
              <w:bottom w:w="0" w:type="dxa"/>
              <w:right w:w="0" w:type="dxa"/>
            </w:tcMar>
            <w:vAlign w:val="center"/>
          </w:tcPr>
          <w:p>
            <w:pPr>
              <w:pStyle w:val="Normal"/>
              <w:bidi w:val="0"/>
              <w:jc w:val="left"/>
              <w:rPr/>
            </w:pPr>
            <w:r>
              <w:rPr/>
            </w:r>
          </w:p>
        </w:tc>
        <w:tc>
          <w:tcPr>
            <w:tcW w:w="1604"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right w:val="single" w:sz="8" w:space="0" w:color="0A2299"/>
            </w:tcBorders>
            <w:shd w:fill="00205B"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79" w:type="dxa"/>
            <w:gridSpan w:val="3"/>
            <w:vMerge w:val="continue"/>
            <w:tcBorders>
              <w:top w:val="single" w:sz="8" w:space="0" w:color="0A2299"/>
              <w:left w:val="single" w:sz="8" w:space="0" w:color="0A2299"/>
            </w:tcBorders>
            <w:shd w:fill="00205B" w:val="clear"/>
            <w:tcMar>
              <w:top w:w="30" w:type="dxa"/>
              <w:bottom w:w="0" w:type="dxa"/>
              <w:right w:w="0" w:type="dxa"/>
            </w:tcMar>
            <w:vAlign w:val="center"/>
          </w:tcPr>
          <w:p>
            <w:pPr>
              <w:pStyle w:val="Normal"/>
              <w:bidi w:val="0"/>
              <w:jc w:val="left"/>
              <w:rPr/>
            </w:pPr>
            <w:r>
              <w:rPr/>
            </w:r>
          </w:p>
        </w:tc>
        <w:tc>
          <w:tcPr>
            <w:tcW w:w="1604"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FFFFFF"/>
                <w:sz w:val="18"/>
              </w:rPr>
            </w:pPr>
            <w:r>
              <w:rPr>
                <w:rFonts w:ascii="Arial;sans-serif" w:hAnsi="Arial;sans-serif"/>
                <w:b w:val="false"/>
                <w:color w:val="FFFFFF"/>
                <w:sz w:val="18"/>
              </w:rPr>
              <w:t xml:space="preserve">Threshold Shares </w:t>
            </w:r>
          </w:p>
          <w:p>
            <w:pPr>
              <w:pStyle w:val="TableContents"/>
              <w:bidi w:val="0"/>
              <w:spacing w:lineRule="auto" w:line="333" w:before="0" w:after="0"/>
              <w:jc w:val="center"/>
              <w:rPr>
                <w:rFonts w:ascii="Arial;sans-serif" w:hAnsi="Arial;sans-serif"/>
                <w:b w:val="false"/>
                <w:color w:val="FFFFFF"/>
                <w:sz w:val="18"/>
              </w:rPr>
            </w:pPr>
            <w:r>
              <w:rPr>
                <w:rFonts w:ascii="Arial;sans-serif" w:hAnsi="Arial;sans-serif"/>
                <w:b w:val="false"/>
                <w:color w:val="FFFFFF"/>
                <w:sz w:val="18"/>
              </w:rPr>
              <w:t>(#)</w:t>
            </w:r>
          </w:p>
        </w:tc>
        <w:tc>
          <w:tcPr>
            <w:tcW w:w="959"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FFFFFF"/>
                <w:sz w:val="18"/>
              </w:rPr>
            </w:pPr>
            <w:r>
              <w:rPr>
                <w:rFonts w:ascii="Arial;sans-serif" w:hAnsi="Arial;sans-serif"/>
                <w:b w:val="false"/>
                <w:color w:val="FFFFFF"/>
                <w:sz w:val="18"/>
              </w:rPr>
              <w:t xml:space="preserve">Target </w:t>
            </w:r>
          </w:p>
          <w:p>
            <w:pPr>
              <w:pStyle w:val="TableContents"/>
              <w:bidi w:val="0"/>
              <w:spacing w:lineRule="auto" w:line="333" w:before="0" w:after="0"/>
              <w:jc w:val="center"/>
              <w:rPr>
                <w:rFonts w:ascii="Arial;sans-serif" w:hAnsi="Arial;sans-serif"/>
                <w:b w:val="false"/>
                <w:color w:val="FFFFFF"/>
                <w:sz w:val="18"/>
              </w:rPr>
            </w:pPr>
            <w:r>
              <w:rPr>
                <w:rFonts w:ascii="Arial;sans-serif" w:hAnsi="Arial;sans-serif"/>
                <w:b w:val="false"/>
                <w:color w:val="FFFFFF"/>
                <w:sz w:val="18"/>
              </w:rPr>
              <w:t>Shares (#)</w:t>
            </w:r>
          </w:p>
        </w:tc>
        <w:tc>
          <w:tcPr>
            <w:tcW w:w="959"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val="false"/>
                <w:color w:val="FFFFFF"/>
                <w:sz w:val="18"/>
              </w:rPr>
            </w:pPr>
            <w:r>
              <w:rPr>
                <w:rFonts w:ascii="Arial;sans-serif" w:hAnsi="Arial;sans-serif"/>
                <w:b w:val="false"/>
                <w:color w:val="FFFFFF"/>
                <w:sz w:val="18"/>
              </w:rPr>
              <w:t xml:space="preserve">Maximum </w:t>
            </w:r>
          </w:p>
          <w:p>
            <w:pPr>
              <w:pStyle w:val="TableContents"/>
              <w:bidi w:val="0"/>
              <w:spacing w:lineRule="auto" w:line="333" w:before="0" w:after="0"/>
              <w:jc w:val="center"/>
              <w:rPr>
                <w:rFonts w:ascii="Arial;sans-serif" w:hAnsi="Arial;sans-serif"/>
                <w:b w:val="false"/>
                <w:color w:val="FFFFFF"/>
                <w:sz w:val="18"/>
              </w:rPr>
            </w:pPr>
            <w:r>
              <w:rPr>
                <w:rFonts w:ascii="Arial;sans-serif" w:hAnsi="Arial;sans-serif"/>
                <w:b w:val="false"/>
                <w:color w:val="FFFFFF"/>
                <w:sz w:val="18"/>
              </w:rPr>
              <w:t>Shares (#)</w:t>
            </w:r>
          </w:p>
        </w:tc>
        <w:tc>
          <w:tcPr>
            <w:tcW w:w="899"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Award (#)</w:t>
            </w:r>
          </w:p>
        </w:tc>
        <w:tc>
          <w:tcPr>
            <w:tcW w:w="1575" w:type="dxa"/>
            <w:gridSpan w:val="3"/>
            <w:tcBorders/>
            <w:shd w:fill="00205B"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FFFFFF"/>
                <w:sz w:val="18"/>
              </w:rPr>
              <w:t>Target Value ($)</w:t>
            </w:r>
            <w:r>
              <w:rPr>
                <w:rFonts w:ascii="Arial;sans-serif" w:hAnsi="Arial;sans-serif"/>
                <w:b w:val="false"/>
                <w:color w:val="FFFFFF"/>
                <w:sz w:val="12"/>
              </w:rPr>
              <w:t>(1)</w:t>
            </w:r>
          </w:p>
        </w:tc>
        <w:tc>
          <w:tcPr>
            <w:tcW w:w="899"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Award (#)</w:t>
            </w:r>
          </w:p>
        </w:tc>
        <w:tc>
          <w:tcPr>
            <w:tcW w:w="1469" w:type="dxa"/>
            <w:gridSpan w:val="3"/>
            <w:tcBorders>
              <w:right w:val="single" w:sz="8" w:space="0" w:color="0A2299"/>
            </w:tcBorders>
            <w:shd w:fill="00205B" w:val="clear"/>
            <w:tcMar>
              <w:top w:w="0" w:type="dxa"/>
              <w:left w:w="0" w:type="dxa"/>
              <w:bottom w:w="0" w:type="dxa"/>
            </w:tcMar>
            <w:vAlign w:val="center"/>
          </w:tcPr>
          <w:p>
            <w:pPr>
              <w:pStyle w:val="TableContents"/>
              <w:bidi w:val="0"/>
              <w:spacing w:lineRule="auto" w:line="240" w:before="0" w:after="283"/>
              <w:jc w:val="center"/>
              <w:rPr>
                <w:rFonts w:ascii="Arial;sans-serif" w:hAnsi="Arial;sans-serif"/>
                <w:b w:val="false"/>
                <w:color w:val="FFFFFF"/>
                <w:sz w:val="18"/>
              </w:rPr>
            </w:pPr>
            <w:r>
              <w:rPr>
                <w:rFonts w:ascii="Arial;sans-serif" w:hAnsi="Arial;sans-serif"/>
                <w:b w:val="false"/>
                <w:color w:val="FFFFFF"/>
                <w:sz w:val="18"/>
              </w:rPr>
              <w:t>Target Value ($)</w:t>
            </w:r>
          </w:p>
        </w:tc>
      </w:tr>
      <w:tr>
        <w:trPr/>
        <w:tc>
          <w:tcPr>
            <w:tcW w:w="1679" w:type="dxa"/>
            <w:gridSpan w:val="3"/>
            <w:tcBorders>
              <w:top w:val="single" w:sz="8" w:space="0" w:color="0A2299"/>
              <w:left w:val="single" w:sz="8"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Bradley L. Soultz</w:t>
            </w:r>
          </w:p>
        </w:tc>
        <w:tc>
          <w:tcPr>
            <w:tcW w:w="1604" w:type="dxa"/>
            <w:gridSpan w:val="3"/>
            <w:tcBorders>
              <w:top w:val="single" w:sz="8" w:space="0" w:color="0A2299"/>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31,041</w:t>
            </w:r>
          </w:p>
        </w:tc>
        <w:tc>
          <w:tcPr>
            <w:tcW w:w="959"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62,081</w:t>
            </w:r>
          </w:p>
        </w:tc>
        <w:tc>
          <w:tcPr>
            <w:tcW w:w="959"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124,162</w:t>
            </w:r>
          </w:p>
        </w:tc>
        <w:tc>
          <w:tcPr>
            <w:tcW w:w="899"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62,081</w:t>
            </w:r>
          </w:p>
        </w:tc>
        <w:tc>
          <w:tcPr>
            <w:tcW w:w="1575" w:type="dxa"/>
            <w:gridSpan w:val="3"/>
            <w:tcBorders>
              <w:top w:val="single" w:sz="8" w:space="0" w:color="0A2299"/>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$ 3,150,000</w:t>
            </w:r>
          </w:p>
        </w:tc>
        <w:tc>
          <w:tcPr>
            <w:tcW w:w="899" w:type="dxa"/>
            <w:gridSpan w:val="3"/>
            <w:tcBorders>
              <w:top w:val="single" w:sz="8" w:space="0" w:color="0A2299"/>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26,606</w:t>
            </w:r>
          </w:p>
        </w:tc>
        <w:tc>
          <w:tcPr>
            <w:tcW w:w="231" w:type="dxa"/>
            <w:tcBorders>
              <w:top w:val="single" w:sz="8" w:space="0" w:color="0A229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top w:val="single" w:sz="8" w:space="0" w:color="0A229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1,350,000 </w:t>
            </w:r>
          </w:p>
        </w:tc>
        <w:tc>
          <w:tcPr>
            <w:tcW w:w="168" w:type="dxa"/>
            <w:tcBorders>
              <w:top w:val="single" w:sz="8" w:space="0" w:color="0A2299"/>
              <w:right w:val="single" w:sz="8"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D. Boswell</w:t>
            </w:r>
          </w:p>
        </w:tc>
        <w:tc>
          <w:tcPr>
            <w:tcW w:w="1604"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12,416</w:t>
            </w:r>
          </w:p>
        </w:tc>
        <w:tc>
          <w:tcPr>
            <w:tcW w:w="95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24,832</w:t>
            </w:r>
          </w:p>
        </w:tc>
        <w:tc>
          <w:tcPr>
            <w:tcW w:w="95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49,664</w:t>
            </w:r>
          </w:p>
        </w:tc>
        <w:tc>
          <w:tcPr>
            <w:tcW w:w="89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24,832</w:t>
            </w:r>
          </w:p>
        </w:tc>
        <w:tc>
          <w:tcPr>
            <w:tcW w:w="157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$ 1,260,000</w:t>
            </w:r>
          </w:p>
        </w:tc>
        <w:tc>
          <w:tcPr>
            <w:tcW w:w="89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10,642</w:t>
            </w:r>
          </w:p>
        </w:tc>
        <w:tc>
          <w:tcPr>
            <w:tcW w:w="231" w:type="dxa"/>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540,000 </w:t>
            </w:r>
          </w:p>
        </w:tc>
        <w:tc>
          <w:tcPr>
            <w:tcW w:w="168" w:type="dxa"/>
            <w:tcBorders>
              <w:top w:val="single" w:sz="8" w:space="0" w:color="00205B"/>
              <w:right w:val="single" w:sz="8"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Hezron T. Lopez</w:t>
            </w:r>
          </w:p>
        </w:tc>
        <w:tc>
          <w:tcPr>
            <w:tcW w:w="1604"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13,935</w:t>
            </w:r>
          </w:p>
        </w:tc>
        <w:tc>
          <w:tcPr>
            <w:tcW w:w="95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27,869</w:t>
            </w:r>
          </w:p>
        </w:tc>
        <w:tc>
          <w:tcPr>
            <w:tcW w:w="95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55,738</w:t>
            </w:r>
          </w:p>
        </w:tc>
        <w:tc>
          <w:tcPr>
            <w:tcW w:w="89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27,869</w:t>
            </w:r>
          </w:p>
        </w:tc>
        <w:tc>
          <w:tcPr>
            <w:tcW w:w="157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$ 1,414,073</w:t>
            </w:r>
          </w:p>
        </w:tc>
        <w:tc>
          <w:tcPr>
            <w:tcW w:w="89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5,912</w:t>
            </w:r>
          </w:p>
        </w:tc>
        <w:tc>
          <w:tcPr>
            <w:tcW w:w="231" w:type="dxa"/>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168" w:type="dxa"/>
            <w:tcBorders>
              <w:top w:val="single" w:sz="8" w:space="0" w:color="00205B"/>
              <w:right w:val="single" w:sz="8"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Felicia K. Gorcyca</w:t>
            </w:r>
          </w:p>
        </w:tc>
        <w:tc>
          <w:tcPr>
            <w:tcW w:w="1604"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95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95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89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57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89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1469" w:type="dxa"/>
            <w:gridSpan w:val="3"/>
            <w:tcBorders>
              <w:top w:val="single" w:sz="8" w:space="0" w:color="00205B"/>
              <w:right w:val="single" w:sz="8" w:space="0" w:color="00205B"/>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r>
      <w:tr>
        <w:trPr/>
        <w:tc>
          <w:tcPr>
            <w:tcW w:w="167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Graeme Parkes</w:t>
            </w:r>
          </w:p>
        </w:tc>
        <w:tc>
          <w:tcPr>
            <w:tcW w:w="1604"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11,841</w:t>
            </w:r>
          </w:p>
        </w:tc>
        <w:tc>
          <w:tcPr>
            <w:tcW w:w="95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23,681</w:t>
            </w:r>
          </w:p>
        </w:tc>
        <w:tc>
          <w:tcPr>
            <w:tcW w:w="95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47,362</w:t>
            </w:r>
          </w:p>
        </w:tc>
        <w:tc>
          <w:tcPr>
            <w:tcW w:w="89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23,681</w:t>
            </w:r>
          </w:p>
        </w:tc>
        <w:tc>
          <w:tcPr>
            <w:tcW w:w="1575"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$ 1,201,574</w:t>
            </w:r>
          </w:p>
        </w:tc>
        <w:tc>
          <w:tcPr>
            <w:tcW w:w="899" w:type="dxa"/>
            <w:gridSpan w:val="3"/>
            <w:tcBorders>
              <w:top w:val="single" w:sz="8" w:space="0" w:color="00205B"/>
              <w:left w:val="single" w:sz="8" w:space="0" w:color="00205B"/>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5,173</w:t>
            </w:r>
          </w:p>
        </w:tc>
        <w:tc>
          <w:tcPr>
            <w:tcW w:w="231" w:type="dxa"/>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top w:val="single" w:sz="8"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262,500 </w:t>
            </w:r>
          </w:p>
        </w:tc>
        <w:tc>
          <w:tcPr>
            <w:tcW w:w="168" w:type="dxa"/>
            <w:tcBorders>
              <w:top w:val="single" w:sz="8" w:space="0" w:color="00205B"/>
              <w:right w:val="single" w:sz="8"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Sally J. Shanks</w:t>
            </w:r>
          </w:p>
        </w:tc>
        <w:tc>
          <w:tcPr>
            <w:tcW w:w="1604"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6,640</w:t>
            </w:r>
          </w:p>
        </w:tc>
        <w:tc>
          <w:tcPr>
            <w:tcW w:w="959"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13,279</w:t>
            </w:r>
          </w:p>
        </w:tc>
        <w:tc>
          <w:tcPr>
            <w:tcW w:w="959"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26,558</w:t>
            </w:r>
          </w:p>
        </w:tc>
        <w:tc>
          <w:tcPr>
            <w:tcW w:w="899"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13,279</w:t>
            </w:r>
          </w:p>
        </w:tc>
        <w:tc>
          <w:tcPr>
            <w:tcW w:w="1575"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$ 673,776</w:t>
            </w:r>
          </w:p>
        </w:tc>
        <w:tc>
          <w:tcPr>
            <w:tcW w:w="899" w:type="dxa"/>
            <w:gridSpan w:val="3"/>
            <w:tcBorders>
              <w:top w:val="single" w:sz="8" w:space="0" w:color="00205B"/>
              <w:left w:val="single" w:sz="8" w:space="0" w:color="00205B"/>
              <w:bottom w:val="single" w:sz="8" w:space="0" w:color="00205B"/>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2,414</w:t>
            </w:r>
          </w:p>
        </w:tc>
        <w:tc>
          <w:tcPr>
            <w:tcW w:w="231"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122,500 </w:t>
            </w:r>
          </w:p>
        </w:tc>
        <w:tc>
          <w:tcPr>
            <w:tcW w:w="168" w:type="dxa"/>
            <w:tcBorders>
              <w:top w:val="single" w:sz="8" w:space="0" w:color="00205B"/>
              <w:bottom w:val="single" w:sz="8" w:space="0" w:color="00205B"/>
              <w:right w:val="single" w:sz="8" w:space="0" w:color="00205B"/>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hanging="360"/>
        <w:jc w:val="both"/>
        <w:rPr>
          <w:rFonts w:ascii="Arial;sans-serif" w:hAnsi="Arial;sans-serif"/>
          <w:b w:val="false"/>
          <w:i/>
          <w:color w:val="000000"/>
          <w:sz w:val="16"/>
        </w:rPr>
      </w:pPr>
      <w:r>
        <w:rPr>
          <w:rFonts w:ascii="Arial;sans-serif" w:hAnsi="Arial;sans-serif"/>
          <w:b w:val="false"/>
          <w:i/>
          <w:color w:val="000000"/>
          <w:sz w:val="16"/>
        </w:rPr>
        <w:t>(1)For 2023, the Compensation Committee, at the recommendation of Mr. Soultz, approved an increase to the weighting of the performance-based RSUs versus the target weighting noted above.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Other Compensation and Benefits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 xml:space="preserve">Employment Agreements &amp; Individual Compensation Decisions </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We have entered into employment agreements or compensation letters with each of our current named executive officers as summarized below.</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employment agreements or compensation letters do not provide for any gross-ups with respect to any excise tax imposed by Section 280G of the Code. In the event that any payments under the employment agreements or offer letters would subject the executive officer to the excise tax under Section 280G of the Code, the amounts payable to the executive officer will be reduced to the level at which the excise tax will not apply, but only if such reduction would result in a greater after-tax amount to the participating executive officer.</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Bradley L. Soultz, Chief Executive Officer</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Effective March 25, 2024, the Board approved an increase in salary for Mr. Soultz for 2024 to $1,018,618. He is eligible for a target short-term incentive bonus of $1,527,927, or 150% of his annual base salary, and annual long-term incentive awards with a target grant date value of $4,500,000, 30% in the form of Time-Based RSUs vesting ratably over four years and 70% in the form of Performance-Based RSUs vesting over three years. Mr. Soultz’s STIP and LTIP levels remained unchanged. The Board also eliminated the annual automobile allowance from Mr. Soultz’s compensation and rolled a proportionate share of the allowance into his base compensation so that at target the overall compensation paid would not exceed the actual allowance amount. </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On March 1, 2020, in connection with the WillScot Mobile Mini merger, the Company entered into an employment agreement with Mr. Soultz, which became effective upon the completion of the merger. On September 8, 2021, we amended Mr. Soultz’s agreement to include an additional 48 months to end March 1, 2026. The amendment also extended the non-compete period from 12 to 24 months.</w:t>
      </w:r>
    </w:p>
    <w:p>
      <w:pPr>
        <w:pStyle w:val="TextBody"/>
        <w:bidi w:val="0"/>
        <w:spacing w:lineRule="auto" w:line="288" w:before="100" w:after="120"/>
        <w:jc w:val="both"/>
        <w:rPr>
          <w:rFonts w:ascii="Arial;sans-serif" w:hAnsi="Arial;sans-serif"/>
          <w:b w:val="false"/>
          <w:color w:val="000000"/>
          <w:sz w:val="18"/>
        </w:rPr>
      </w:pPr>
      <w:r>
        <w:rPr>
          <w:rFonts w:ascii="Arial;sans-serif" w:hAnsi="Arial;sans-serif"/>
          <w:b w:val="false"/>
          <w:color w:val="000000"/>
          <w:sz w:val="18"/>
        </w:rPr>
        <w:t xml:space="preserve">As of September 8, 2021, the amended agreement also contemplated an additional retention and performance incentive award consisting of a target number of 312,632 performance-based restricted stock units. The actual number of units that will vest and become unrestricted will be determined in accordance with the performance results as set in the agreement and may range from 0 to 750,000 units. The units will become vested and unrestricted on the vesting date, March 1, 2026. This performance-based grant had no intrinsic value at grant and would not become eligible to vest unless the Company’s share price reaches at least $42.50 during the performance period. The performance-based grant begins to qualify for vesting at $42.50 per share, with maximum earning potential if the share price exceeds $60.00 per share during the contract extension period. Related to the September 2021 Performance-Based RSU grants on February 10, 2023, the Compensation Committee ratified the stock price attainment, following the first of four annual test periods, each of which coincides with the 60 day average price following the Company’s filing of its third quarter results. The calculation was performed by FTI, which utilized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143"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100" w:after="120"/>
        <w:jc w:val="both"/>
        <w:rPr>
          <w:rFonts w:ascii="Arial;sans-serif" w:hAnsi="Arial;sans-serif"/>
          <w:b w:val="false"/>
          <w:color w:val="000000"/>
          <w:sz w:val="18"/>
        </w:rPr>
      </w:pPr>
      <w:r>
        <w:rPr>
          <w:rFonts w:ascii="Arial;sans-serif" w:hAnsi="Arial;sans-serif"/>
          <w:b w:val="false"/>
          <w:color w:val="000000"/>
          <w:sz w:val="18"/>
        </w:rPr>
        <w:t xml:space="preserve">share price thresholds as the primary performance criteria. Following such ratification, the Committee approved the earned but not vested equity associated with the September 2021 Performance-Based RSU grants. Mr. Soultz surpassed the attainment of the $45.00 per share threshold calculated as the share price over a period of 60 consecutive trading days following the filing of the Company’s third quarter results with an attainment of $46.40 per share. </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Timothy D. Boswell, President and Chief Financial Officer</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Effective March 25, 2024, the Board provided an increase in annual base salary for Mr. Boswell for 2024 to $681,852. He is eligible for a target short-term incentive bonus of $852,315, or 125% of his annual base salary, and annual long-term incentive awards with a target grant value of $1,800,000, 30% in the form of Time-Based RSUs vesting ratably over four years and 70% in the form of Performance-Based RSUs vesting over three years. Mr. Boswell’s STIP and LTIP levels remained unchanged. The Board also eliminated the annual automobile allowance from Mr. Boswell’s compensation and rolled a proportionate share of the allowance into his base compensation so that at target the overall compensation paid would not exceed the actual allowance amount.</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On March 1, 2020, in connection with the WillScot Mobile Mini merger, the Company entered into an employment agreement with Mr. Boswell, effective as of March 1, 2020. On September 8, 2021, we amended Mr. Boswell’s agreement to include an additional 39 months to end July 1, 2026, after which point the agreement will automatically renew for successive one-year periods. The agreement also includes non-compete and employment non-solicitation provisions for 12 months post-termination of employment.</w:t>
      </w:r>
    </w:p>
    <w:p>
      <w:pPr>
        <w:pStyle w:val="TextBody"/>
        <w:bidi w:val="0"/>
        <w:spacing w:lineRule="auto" w:line="288" w:before="0" w:after="120"/>
        <w:jc w:val="both"/>
        <w:rPr/>
      </w:pPr>
      <w:r>
        <w:rPr>
          <w:rFonts w:ascii="Arial;sans-serif" w:hAnsi="Arial;sans-serif"/>
          <w:b w:val="false"/>
          <w:color w:val="000000"/>
          <w:sz w:val="18"/>
        </w:rPr>
        <w:t>As of September 8, 2021, the amended agreement also contemplated an additional retention and performance incentive award consisting of a target number of 243,158 performance-based restricted stock units. The actual number of Restricted Stock Units that will vest and become unrestricted will be determined in accordance with the performance results as set in the agreement and may range from 0 to 583,334 units. The units will become vested and unrestricted on the vesting date, July 1, 2026. This performance-based grant had no intrinsic value at grant and would not become eligible to vest unless the Company’s share price reaches at least $42.50 during the performance period. The performance-based grant begins to qualify for vesting at $42.50 per share, with maximum earning potential if the share price exceeds $60.00 per share during the contract extension period.</w:t>
      </w:r>
      <w:r>
        <w:rPr>
          <w:color w:val="000000"/>
        </w:rPr>
        <w:t xml:space="preserve"> </w:t>
      </w:r>
      <w:r>
        <w:rPr>
          <w:rFonts w:ascii="Arial;sans-serif" w:hAnsi="Arial;sans-serif"/>
          <w:b w:val="false"/>
          <w:color w:val="000000"/>
          <w:sz w:val="18"/>
        </w:rPr>
        <w:t xml:space="preserve">Related to the September 2021 Performance-Based RSU grants on February 10, 2023, the Compensation Committee ratified the stock price attainment, following the first of four annual test periods, each of which coincides with the 60 day average price following the Company’s filing of its third quarter results. The calculation was performed by FTI, which utilized share price thresholds as the primary performance criteria. Following such ratification, the Committee approved the earned but not vested equity associated with the September 2021 Performance-Based RSU grants. Mr. Boswell surpassed the attainment of the $45.00 per share threshold calculated as the share price over a period of 60 consecutive trading days following the filing of the Company’s third quarter results with an attainment of $46.40 per share. </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Hezron T. Lopez, Executive Vice President – Chief Legal &amp; Compliance Officer &amp; ESG</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Effective March 25, 2024, the Board provided an increase in annual base salary for Mr. Lopez for 2024 to $575,000. He is eligible for a target short-term incentive bonus of $575,000, or 100% of his annual base salary, and annual long-term incentive awards with a target grant value of $1,500,000, 30% in the form of Time-Based RSUs vesting ratably over four years and 70% in the form of Performance-Based RSUs vesting over three years.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On June 6, 2022, we entered into an amended and restated employment agreement with Mr. Lopez, effective June 3, 2022. The terms of the agreement, among other things, (a) extended Mr. Lopez’s employment term through June 3, 2027, with automatic one-year renewals thereafter, (b) updated Mr. Lopez’s title to Executive Vice President – Chief Legal &amp; Compliance Officer &amp; ESG, (c) provided for an annual base salary of $525,000 per calendar year, (d) provided for an annual target bonus opportunity of 90% of his base salary, (e) set the target grant value of Mr. Lopez’s annual equity award at $1,000,000, 70% of which shall be in the form of performance-based restricted stock units vesting over three years and 30% in the form of restricted stock units vesting over four years, (f) approved an annual allowance of $40,000 (g) eliminated the annual automobile allowance, (h) provided for severance payments in the event of a termination without Cause or for Good Reason or following a Change in Control (each as defined in the agreement) to include an amount equal to 1.5 times Mr. Lopez’s annual target bonus and continued base salary for 18 months, and (i) extended the non-compete period from 12 to 18 months.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Felicia K. Gorcyca, Executive Vice President – Chief Human Resources Officer</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On June 26, 2023, we entered into an employment agreement with Ms. Gorcyca, which provides for annual base salary of $450,000. Effective March 25, 2024, the Board provided an increase in annual base salary for Ms. Gorcyca for 2024 to $468,000. She is eligible for a target short-term incentive bonus of $351,00 or 75% of her annual base salary, and annual long-term incentive awards with a target grant value of $750,000, 30% in the form of Time-Based RSUs vesting ratably over four years and 70% in the form of Performance-Based RSUs vesting over three years.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Under the terms of Ms. Gorcyca’s employment agreement, in the event of a termination without Cause or for Good Reason or following a Change in Control (each as defined in the agreement) to include an amount equal to 1 times Ms. Gorcyca’s annual target bonus and continued base salary for 18 months and sets a non-compete period of 24 months.</w:t>
      </w:r>
    </w:p>
    <w:p>
      <w:pPr>
        <w:pStyle w:val="TextBody"/>
        <w:bidi w:val="0"/>
        <w:spacing w:lineRule="auto" w:line="288" w:before="0" w:after="60"/>
        <w:jc w:val="both"/>
        <w:rPr/>
      </w:pPr>
      <w:r>
        <w:rPr>
          <w:rFonts w:ascii="Arial;sans-serif" w:hAnsi="Arial;sans-serif"/>
          <w:b/>
          <w:i/>
          <w:color w:val="1D2758"/>
          <w:sz w:val="18"/>
        </w:rPr>
        <w:t xml:space="preserve">Graeme Parkes, Executive Vice President </w:t>
      </w:r>
      <w:r>
        <w:rPr>
          <w:color w:val="000000"/>
        </w:rPr>
        <w:t>–</w:t>
      </w:r>
      <w:r>
        <w:rPr>
          <w:color w:val="1D2758"/>
        </w:rPr>
        <w:t xml:space="preserve"> </w:t>
      </w:r>
      <w:r>
        <w:rPr>
          <w:rFonts w:ascii="Arial;sans-serif" w:hAnsi="Arial;sans-serif"/>
          <w:b/>
          <w:i/>
          <w:color w:val="1D2758"/>
          <w:sz w:val="18"/>
        </w:rPr>
        <w:t>Chief Information Officer</w:t>
      </w:r>
    </w:p>
    <w:p>
      <w:pPr>
        <w:pStyle w:val="TextBody"/>
        <w:bidi w:val="0"/>
        <w:spacing w:lineRule="auto" w:line="288" w:before="0" w:after="60"/>
        <w:jc w:val="both"/>
        <w:rPr/>
      </w:pPr>
      <w:r>
        <w:rPr>
          <w:rFonts w:ascii="Arial;sans-serif" w:hAnsi="Arial;sans-serif"/>
          <w:b w:val="false"/>
          <w:color w:val="000000"/>
          <w:sz w:val="18"/>
        </w:rPr>
        <w:t>Effective</w:t>
      </w:r>
      <w:r>
        <w:rPr>
          <w:color w:val="000000"/>
        </w:rPr>
        <w:t xml:space="preserve"> </w:t>
      </w:r>
      <w:r>
        <w:rPr>
          <w:rFonts w:ascii="Arial;sans-serif" w:hAnsi="Arial;sans-serif"/>
          <w:b w:val="false"/>
          <w:color w:val="000000"/>
          <w:sz w:val="18"/>
        </w:rPr>
        <w:t xml:space="preserve">March 25, 2024, the Board provided an increase in annual base salary for Mr. Parkes for 2024 to $454,272. He is eligible for a target short-term incentive bonus of $340,704, or 75% of his annual base salary, and annual long-term incentive awards with a target grant value of $750,000, 35% in the form of Time-Based RSUs vesting ratably over four years and 65%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6840"/>
                <wp:effectExtent l="0" t="0" r="0" b="0"/>
                <wp:wrapNone/>
                <wp:docPr id="144"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124</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form of Performance-Based RSUs vesting over three years. The Compensation Committee made these increases with confidence given Mr. Parkes’ continued performance and strong stewardship of his duties.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On February 15, 2023, as a result of a market review of the position, responsibilities and compensation levels, we entered into an amended and restated employment agreement with Mr. Parkes. The terms of the agreement instituted a double trigger requirement in the event of a Change in Control and, among other things, (a) provided for severance payments in the event of a termination without Cause or for Good Reason or following a Change in Control to include an amount equal to 1 times Mr. Parkes’ annual target bonus and continued base salary for 18 months, (b) extended the non-compete period to 18 months, (c) provided for an annual target bonus opportunity of 75% of his base salary, and (d) set the target grant value of Mr. Parkes’ annual equity award at $750,000, 35% in the form of Time-Based RSUs vesting ratably over four years and 65% in the form of Performance-Based RSUs vesting over three years. </w:t>
      </w:r>
    </w:p>
    <w:p>
      <w:pPr>
        <w:pStyle w:val="TextBody"/>
        <w:bidi w:val="0"/>
        <w:spacing w:lineRule="auto" w:line="288" w:before="0" w:after="60"/>
        <w:jc w:val="both"/>
        <w:rPr/>
      </w:pPr>
      <w:r>
        <w:rPr>
          <w:rFonts w:ascii="Arial;sans-serif" w:hAnsi="Arial;sans-serif"/>
          <w:b/>
          <w:i/>
          <w:color w:val="1D2758"/>
          <w:sz w:val="18"/>
        </w:rPr>
        <w:t xml:space="preserve">Sally J. Shanks, Senior Vice President </w:t>
      </w:r>
      <w:r>
        <w:rPr>
          <w:color w:val="000000"/>
        </w:rPr>
        <w:t xml:space="preserve">– </w:t>
      </w:r>
      <w:r>
        <w:rPr>
          <w:rFonts w:ascii="Arial;sans-serif" w:hAnsi="Arial;sans-serif"/>
          <w:b/>
          <w:i/>
          <w:color w:val="1D2758"/>
          <w:sz w:val="18"/>
        </w:rPr>
        <w:t xml:space="preserve">Chief Accounting Officer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Effective March 25, 2024, the Board provided an increase in annual base salary for Ms. Shanks for 2024 to $426,400,. She is eligible for a target short-term incentive bonus of $231,200, or 50%, of her annual base salary, and annual long-term incentive awards with a target grant value of $350,000, with 35% in the form of Time-Based RSUs vesting ratably over four years and 65% in the form of Performance-Based RSUs vesting ratably over three years. The Compensation Committee made these increases with confidence given Ms. Shanks’ continued performance and strong stewardship of her duties. The Board also eliminated the annual automobile allowance from Ms. Shanks’ compensation and rolled a proportionate share of the allowance into her base compensation so that at target the overall compensation paid would not exceed the actual allowance amount.</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Perquisites</w:t>
      </w:r>
    </w:p>
    <w:p>
      <w:pPr>
        <w:pStyle w:val="TextBody"/>
        <w:bidi w:val="0"/>
        <w:spacing w:lineRule="auto" w:line="288" w:before="100" w:after="60"/>
        <w:jc w:val="both"/>
        <w:rPr/>
      </w:pPr>
      <w:r>
        <w:rPr>
          <w:rFonts w:ascii="Arial;sans-serif" w:hAnsi="Arial;sans-serif"/>
          <w:b w:val="false"/>
          <w:color w:val="000000"/>
          <w:sz w:val="18"/>
        </w:rPr>
        <w:t>We made available all or some of the following perquisites to our named executive officers during 2023: premiums for life and supplemental individual disability insurance and an executive travel allowance for Mr. Lopez in the amount of $40,000</w:t>
      </w:r>
      <w:r>
        <w:rPr>
          <w:rFonts w:ascii="Arial;sans-serif" w:hAnsi="Arial;sans-serif"/>
          <w:b w:val="false"/>
          <w:color w:val="000000"/>
          <w:sz w:val="12"/>
        </w:rPr>
        <w:t>(1)</w:t>
      </w:r>
      <w:r>
        <w:rPr>
          <w:rFonts w:ascii="Arial;sans-serif" w:hAnsi="Arial;sans-serif"/>
          <w:b w:val="false"/>
          <w:color w:val="000000"/>
          <w:sz w:val="18"/>
        </w:rPr>
        <w:t>. We reflect the aggregate incremental cost of these perquisites in the “All Other Compensation” column of the Summary Compensation Table. The Compensation Committee (and the Board related to Mr. Soultz) eliminated the annual automobile allowances for NEOs, effective in 2023 (a proportionate share of the allowance was added to base compensation so that, at target, the overall compensation paid would not exceed the actual allowance amount previously provided).</w:t>
      </w:r>
    </w:p>
    <w:p>
      <w:pPr>
        <w:pStyle w:val="TextBody"/>
        <w:bidi w:val="0"/>
        <w:spacing w:lineRule="auto" w:line="288" w:before="0" w:after="120"/>
        <w:ind w:left="0" w:right="0" w:hanging="360"/>
        <w:jc w:val="both"/>
        <w:rPr>
          <w:rFonts w:ascii="Arial;sans-serif" w:hAnsi="Arial;sans-serif"/>
          <w:b w:val="false"/>
          <w:i/>
          <w:color w:val="000000"/>
          <w:sz w:val="16"/>
        </w:rPr>
      </w:pPr>
      <w:r>
        <w:rPr>
          <w:rFonts w:ascii="Arial;sans-serif" w:hAnsi="Arial;sans-serif"/>
          <w:b w:val="false"/>
          <w:i/>
          <w:color w:val="000000"/>
          <w:sz w:val="16"/>
        </w:rPr>
        <w:t>(1)Increased to $50,000 for 2024.</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Other Benefits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Our named executive officers are eligible to participate in broad-based employee benefit plans, including a 401(k) plan and group health insurance, which are generally available to all U.S. salaried employees and do not discriminate in favor of our NEOs.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Compensation Governance Policies</w:t>
      </w:r>
    </w:p>
    <w:p>
      <w:pPr>
        <w:pStyle w:val="TextBody"/>
        <w:bidi w:val="0"/>
        <w:spacing w:lineRule="auto" w:line="288" w:before="0" w:after="60"/>
        <w:jc w:val="left"/>
        <w:rPr>
          <w:rFonts w:ascii="Arial;sans-serif" w:hAnsi="Arial;sans-serif"/>
          <w:b/>
          <w:i/>
          <w:color w:val="1D2758"/>
          <w:sz w:val="18"/>
        </w:rPr>
      </w:pPr>
      <w:r>
        <w:rPr>
          <w:rFonts w:ascii="Arial;sans-serif" w:hAnsi="Arial;sans-serif"/>
          <w:b/>
          <w:i/>
          <w:color w:val="1D2758"/>
          <w:sz w:val="18"/>
        </w:rPr>
        <w:t>Executive Officer Stock Ownership Guidelines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We maintain stock ownership guidelines for our executive officers with the following target ownership levels:</w:t>
      </w:r>
    </w:p>
    <w:tbl>
      <w:tblPr>
        <w:tblW w:w="7529" w:type="dxa"/>
        <w:jc w:val="center"/>
        <w:tblInd w:w="0" w:type="dxa"/>
        <w:tblLayout w:type="fixed"/>
        <w:tblCellMar>
          <w:top w:w="28" w:type="dxa"/>
          <w:left w:w="28" w:type="dxa"/>
          <w:bottom w:w="28" w:type="dxa"/>
          <w:right w:w="28" w:type="dxa"/>
        </w:tblCellMar>
      </w:tblPr>
      <w:tblGrid>
        <w:gridCol w:w="1052"/>
        <w:gridCol w:w="927"/>
        <w:gridCol w:w="930"/>
        <w:gridCol w:w="1352"/>
        <w:gridCol w:w="1352"/>
        <w:gridCol w:w="1916"/>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Executive Level</w:t>
            </w:r>
          </w:p>
        </w:tc>
        <w:tc>
          <w:tcPr>
            <w:tcW w:w="4620"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8"/>
              </w:rPr>
              <w:t>Target Ownership Level As Multiple of Base Salary</w:t>
            </w:r>
            <w:r>
              <w:rPr>
                <w:rFonts w:ascii="Arial;sans-serif" w:hAnsi="Arial;sans-serif"/>
                <w:b/>
                <w:color w:val="FFFFFF"/>
                <w:sz w:val="12"/>
              </w:rPr>
              <w:t>(1)</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6x</w:t>
            </w:r>
          </w:p>
        </w:tc>
      </w:tr>
      <w:tr>
        <w:trPr/>
        <w:tc>
          <w:tcPr>
            <w:tcW w:w="2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&amp; Chief Financial Officer</w:t>
            </w:r>
          </w:p>
        </w:tc>
        <w:tc>
          <w:tcPr>
            <w:tcW w:w="4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5x</w:t>
            </w:r>
          </w:p>
        </w:tc>
      </w:tr>
      <w:tr>
        <w:trPr/>
        <w:tc>
          <w:tcPr>
            <w:tcW w:w="29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Legal Officer</w:t>
            </w:r>
          </w:p>
        </w:tc>
        <w:tc>
          <w:tcPr>
            <w:tcW w:w="46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3x</w:t>
            </w:r>
          </w:p>
        </w:tc>
      </w:tr>
      <w:tr>
        <w:trPr/>
        <w:tc>
          <w:tcPr>
            <w:tcW w:w="290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NEOs</w:t>
            </w:r>
          </w:p>
        </w:tc>
        <w:tc>
          <w:tcPr>
            <w:tcW w:w="462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2x</w:t>
            </w:r>
          </w:p>
        </w:tc>
      </w:tr>
    </w:tbl>
    <w:p>
      <w:pPr>
        <w:pStyle w:val="TextBody"/>
        <w:bidi w:val="0"/>
        <w:spacing w:lineRule="auto" w:line="312" w:before="2" w:after="120"/>
        <w:jc w:val="both"/>
        <w:rPr>
          <w:rFonts w:ascii="Arial;sans-serif" w:hAnsi="Arial;sans-serif"/>
          <w:b w:val="false"/>
          <w:i/>
          <w:color w:val="000000"/>
          <w:sz w:val="16"/>
        </w:rPr>
      </w:pPr>
      <w:r>
        <w:rPr>
          <w:rFonts w:ascii="Arial;sans-serif" w:hAnsi="Arial;sans-serif"/>
          <w:b w:val="false"/>
          <w:i/>
          <w:color w:val="000000"/>
          <w:sz w:val="16"/>
        </w:rPr>
        <w:t>(1) For purposes of calculating stock ownership, vested stock are included in such calculation. Unvested equity is not included in such calculation.</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We expect executive officers to meet their target ownership level by the later of the fifth anniversary of their appointment as an executive officer or November 1, 2028, which is the fifth anniversary of the effective date of the guidelines. We expect executive officers who have not achieved their target ownership level by the applicable deadline to retain 100% of their equity awards, including any net shares acquired upon any future vesting of restricted stock units and/or the exercise of stock options, net of an amount of shares sufficient to cover any taxes or exercise price due in connection with such equity awards, until they meet the target ownership level. Once an executive officer has met the target ownership level, we will deem the executive officer to have satisfied the target ownership level until such time as the executive officer disposes of any shares, after which we will remeasure compliance. As of the date of this Annual Report on Form 10-K, all of our executive officers either had met the target ownership level or had additional time to do so. Our Compensation Committee reviews annually the ownership levels for executive officers. We have also adopted stock ownership guidelines for our non-employee directors which we discuss above.</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Securities Trading Policy (Hedging and Pledging Prohibited)</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The Company’s Securities Trading Policy: (i) provides that prohibitions on short sales, hedging transactions, and monetization transactions apply not only to the Company’s officers and directors, but also to the Company’s employees; and (ii) makes clear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6840"/>
                <wp:effectExtent l="0" t="0" r="0" b="0"/>
                <wp:wrapNone/>
                <wp:docPr id="145" name="Frame1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that all officers, directors, and employees are prohibited from holding Company securities in a margin account or otherwise pledging Company securities as collateral for a loan except as may be approved by the Board.</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Compensation Recoupment Policy</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During 2023, we modified our Compensation Recoupment Policy to comply with the SEC’s recently issued regulations and the stock exchange listing standards that implemented those regulations. Our policy as modified provides that, if we are required to prepare a qualifying accounting restatement, then, unless an exception applies, we will recover reasonably promptly the excess of (1) the amount of incentive-based compensation received by a person who served as a covered officer at any time during the applicable performance period during the three completed years immediately preceding the date we are required to prepare the accounting restatement over (2) the amount that would have been received had it been determined based on the restated financials.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Our policy also authorizes us to recover, reduce or cancel, incentive-based and equity compensation paid or awarded to, or earned by, covered officers if the officer has engaged in prohibited conduct that has caused, or might reasonably be expected to cause, significant reputational or financial harm to our Company.</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Regulatory Considerations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Section 162(m) of the Internal Revenue Code of 1986 generally disallows a tax deduction to public corporations for compensation in excess of $1 million paid for any fiscal year to any covered employee. Covered employees generally include our named executive officers. Accordingly, the tax deduction we take for compensation paid to our NEOs may be limited by Code Section 162(m). The Compensation Committee nevertheless retains full discretion to award compensation that attracts, retains and rewards successful executive officers even if the deductibility of such compensation is limited. At the time of determining our executive compensation for 2023, we reviewed the tax impact of such compensation on us as well as on our executive officers. In addition, we reviewed the impact of our compensation program against other considerations, such as accounting impact, stockholder alignment, market competitiveness, effectiveness and perceived value to employees.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Compensation Committee Report</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Compensation Committee has reviewed and discussed with management the Compensation Discussion and Analysis set forth above, and based on such review and discussion, the Compensation Committee recommended to the Board of Directors that the Compensation Discussion and Analysis be included in the Company’s Annual Report on Form 10-K and proxy statement relating to the 2024 annual meeting of shareholders.</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Respectfully submitted,</w:t>
      </w:r>
    </w:p>
    <w:p>
      <w:pPr>
        <w:pStyle w:val="TextBody"/>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Jeff Sagansky, Chair</w:t>
      </w:r>
    </w:p>
    <w:p>
      <w:pPr>
        <w:pStyle w:val="TextBody"/>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Mark Bartlett</w:t>
      </w:r>
    </w:p>
    <w:p>
      <w:pPr>
        <w:pStyle w:val="TextBody"/>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Erika T. Davis</w:t>
      </w:r>
    </w:p>
    <w:p>
      <w:pPr>
        <w:pStyle w:val="TextBody"/>
        <w:bidi w:val="0"/>
        <w:spacing w:lineRule="auto" w:line="240" w:before="0" w:after="0"/>
        <w:jc w:val="both"/>
        <w:rPr>
          <w:rFonts w:ascii="Arial;sans-serif" w:hAnsi="Arial;sans-serif"/>
          <w:b w:val="false"/>
          <w:color w:val="000000"/>
          <w:sz w:val="18"/>
        </w:rPr>
      </w:pPr>
      <w:r>
        <w:rPr>
          <w:rFonts w:ascii="Arial;sans-serif" w:hAnsi="Arial;sans-serif"/>
          <w:b w:val="false"/>
          <w:color w:val="000000"/>
          <w:sz w:val="18"/>
        </w:rPr>
        <w:t>Natalia Johnson</w:t>
      </w:r>
    </w:p>
    <w:p>
      <w:pPr>
        <w:pStyle w:val="TextBody"/>
        <w:bidi w:val="0"/>
        <w:spacing w:lineRule="auto" w:line="240" w:before="0" w:after="240"/>
        <w:jc w:val="left"/>
        <w:rPr>
          <w:rFonts w:ascii="Arial;sans-serif" w:hAnsi="Arial;sans-serif"/>
          <w:b w:val="false"/>
          <w:color w:val="000000"/>
          <w:sz w:val="18"/>
        </w:rPr>
      </w:pPr>
      <w:r>
        <w:rPr>
          <w:rFonts w:ascii="Arial;sans-serif" w:hAnsi="Arial;sans-serif"/>
          <w:b w:val="false"/>
          <w:color w:val="000000"/>
          <w:sz w:val="18"/>
        </w:rPr>
        <w:t>Rebecca L. Owen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6840"/>
                <wp:effectExtent l="0" t="0" r="0" b="0"/>
                <wp:wrapNone/>
                <wp:docPr id="146" name="Frame1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126</w:t>
                      </w:r>
                    </w:p>
                  </w:txbxContent>
                </v:textbox>
                <w10:wrap type="none"/>
              </v:rect>
            </w:pict>
          </mc:Fallback>
        </mc:AlternateContent>
      </w:r>
    </w:p>
    <w:p>
      <w:pPr>
        <w:pStyle w:val="TextBody"/>
        <w:bidi w:val="0"/>
        <w:spacing w:before="0" w:after="60"/>
        <w:jc w:val="left"/>
        <w:rPr/>
      </w:pPr>
      <w:r>
        <w:rPr/>
      </w:r>
    </w:p>
    <w:p>
      <w:pPr>
        <w:pStyle w:val="TextBody"/>
        <w:bidi w:val="0"/>
        <w:spacing w:lineRule="auto" w:line="333" w:before="0" w:after="120"/>
        <w:jc w:val="both"/>
        <w:rPr>
          <w:rFonts w:ascii="Arial;sans-serif" w:hAnsi="Arial;sans-serif"/>
          <w:b w:val="false"/>
          <w:color w:val="1D2758"/>
          <w:sz w:val="26"/>
        </w:rPr>
      </w:pPr>
      <w:r>
        <w:rPr>
          <w:rFonts w:ascii="Arial;sans-serif" w:hAnsi="Arial;sans-serif"/>
          <w:b w:val="false"/>
          <w:color w:val="1D2758"/>
          <w:sz w:val="26"/>
        </w:rPr>
        <w:t>Compensation Tables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Summary Compensation Table for Fiscal Year 2023</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The following table shows for the fiscal years ended December 31, 2023, 2022 and 2021, compensation awarded or paid to, or earned by, the individuals who served as executive officers during 2023. </w:t>
      </w:r>
    </w:p>
    <w:tbl>
      <w:tblPr>
        <w:tblW w:w="10205" w:type="dxa"/>
        <w:jc w:val="left"/>
        <w:tblInd w:w="0" w:type="dxa"/>
        <w:tblLayout w:type="fixed"/>
        <w:tblCellMar>
          <w:top w:w="28" w:type="dxa"/>
          <w:left w:w="28" w:type="dxa"/>
          <w:bottom w:w="28" w:type="dxa"/>
          <w:right w:w="28" w:type="dxa"/>
        </w:tblCellMar>
      </w:tblPr>
      <w:tblGrid>
        <w:gridCol w:w="800"/>
        <w:gridCol w:w="443"/>
        <w:gridCol w:w="447"/>
        <w:gridCol w:w="154"/>
        <w:gridCol w:w="154"/>
        <w:gridCol w:w="158"/>
        <w:gridCol w:w="196"/>
        <w:gridCol w:w="736"/>
        <w:gridCol w:w="109"/>
        <w:gridCol w:w="196"/>
        <w:gridCol w:w="406"/>
        <w:gridCol w:w="109"/>
        <w:gridCol w:w="196"/>
        <w:gridCol w:w="961"/>
        <w:gridCol w:w="109"/>
        <w:gridCol w:w="233"/>
        <w:gridCol w:w="483"/>
        <w:gridCol w:w="129"/>
        <w:gridCol w:w="249"/>
        <w:gridCol w:w="1111"/>
        <w:gridCol w:w="140"/>
        <w:gridCol w:w="257"/>
        <w:gridCol w:w="968"/>
        <w:gridCol w:w="144"/>
        <w:gridCol w:w="196"/>
        <w:gridCol w:w="961"/>
        <w:gridCol w:w="160"/>
      </w:tblGrid>
      <w:tr>
        <w:trPr/>
        <w:tc>
          <w:tcPr>
            <w:tcW w:w="80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90" w:type="dxa"/>
            <w:gridSpan w:val="3"/>
            <w:tcBorders>
              <w:top w:val="single" w:sz="12" w:space="0" w:color="00205B"/>
              <w:left w:val="single" w:sz="12" w:space="0" w:color="00205B"/>
            </w:tcBorders>
            <w:shd w:fill="00205B" w:val="clear"/>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shd w:fill="0020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205B"/>
            </w:tcBorders>
            <w:shd w:fill="0020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205B"/>
            </w:tcBorders>
            <w:shd w:fill="0020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12" w:space="0" w:color="00205B"/>
            </w:tcBorders>
            <w:shd w:fill="0020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12" w:space="0" w:color="00205B"/>
            </w:tcBorders>
            <w:shd w:fill="0020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12" w:space="0" w:color="00205B"/>
            </w:tcBorders>
            <w:shd w:fill="0020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12" w:space="0" w:color="00205B"/>
            </w:tcBorders>
            <w:shd w:fill="00205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vMerge w:val="restart"/>
            <w:tcBorders>
              <w:top w:val="single" w:sz="12" w:space="0" w:color="00205B"/>
              <w:right w:val="single" w:sz="4" w:space="0" w:color="000000"/>
            </w:tcBorders>
            <w:shd w:fill="00205B" w:val="clear"/>
            <w:tcMar>
              <w:top w:w="30" w:type="dxa"/>
              <w:left w:w="0" w:type="dxa"/>
              <w:bottom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Total</w:t>
            </w:r>
          </w:p>
        </w:tc>
      </w:tr>
      <w:tr>
        <w:trPr/>
        <w:tc>
          <w:tcPr>
            <w:tcW w:w="1690" w:type="dxa"/>
            <w:gridSpan w:val="3"/>
            <w:tcBorders>
              <w:left w:val="single" w:sz="12" w:space="0" w:color="00205B"/>
            </w:tcBorders>
            <w:shd w:fill="00205B" w:val="clear"/>
            <w:tcMar>
              <w:top w:w="0" w:type="dxa"/>
              <w:bottom w:w="0" w:type="dxa"/>
              <w:right w:w="0" w:type="dxa"/>
            </w:tcMar>
            <w:vAlign w:val="center"/>
          </w:tcPr>
          <w:p>
            <w:pPr>
              <w:pStyle w:val="TableContents"/>
              <w:bidi w:val="0"/>
              <w:spacing w:lineRule="auto" w:line="333" w:before="53" w:after="283"/>
              <w:jc w:val="center"/>
              <w:rPr>
                <w:rFonts w:ascii="Arial;sans-serif" w:hAnsi="Arial;sans-serif"/>
                <w:b w:val="false"/>
                <w:color w:val="FFFFFF"/>
                <w:sz w:val="16"/>
              </w:rPr>
            </w:pPr>
            <w:r>
              <w:rPr>
                <w:rFonts w:ascii="Arial;sans-serif" w:hAnsi="Arial;sans-serif"/>
                <w:b w:val="false"/>
                <w:color w:val="FFFFFF"/>
                <w:sz w:val="16"/>
              </w:rPr>
              <w:t xml:space="preserve">Name and Principal </w:t>
            </w:r>
          </w:p>
          <w:p>
            <w:pPr>
              <w:pStyle w:val="TableContents"/>
              <w:bidi w:val="0"/>
              <w:spacing w:lineRule="auto" w:line="333" w:before="0" w:after="30"/>
              <w:jc w:val="center"/>
              <w:rPr>
                <w:rFonts w:ascii="Arial;sans-serif" w:hAnsi="Arial;sans-serif"/>
                <w:b w:val="false"/>
                <w:color w:val="FFFFFF"/>
                <w:sz w:val="16"/>
              </w:rPr>
            </w:pPr>
            <w:r>
              <w:rPr>
                <w:rFonts w:ascii="Arial;sans-serif" w:hAnsi="Arial;sans-serif"/>
                <w:b w:val="false"/>
                <w:color w:val="FFFFFF"/>
                <w:sz w:val="16"/>
              </w:rPr>
              <w:t>Position</w:t>
            </w:r>
          </w:p>
        </w:tc>
        <w:tc>
          <w:tcPr>
            <w:tcW w:w="466"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Year</w:t>
            </w:r>
          </w:p>
        </w:tc>
        <w:tc>
          <w:tcPr>
            <w:tcW w:w="1041" w:type="dxa"/>
            <w:gridSpan w:val="3"/>
            <w:tcBorders/>
            <w:shd w:fill="00205B" w:val="clear"/>
            <w:tcMar>
              <w:top w:w="0" w:type="dxa"/>
              <w:left w:w="0" w:type="dxa"/>
              <w:bottom w:w="0" w:type="dxa"/>
              <w:right w:w="0" w:type="dxa"/>
            </w:tcMar>
            <w:vAlign w:val="center"/>
          </w:tcPr>
          <w:p>
            <w:pPr>
              <w:pStyle w:val="TableContents"/>
              <w:bidi w:val="0"/>
              <w:spacing w:lineRule="auto" w:line="240" w:before="53" w:after="30"/>
              <w:jc w:val="center"/>
              <w:rPr/>
            </w:pPr>
            <w:r>
              <w:rPr>
                <w:rFonts w:ascii="Arial;sans-serif" w:hAnsi="Arial;sans-serif"/>
                <w:b w:val="false"/>
                <w:color w:val="FFFFFF"/>
                <w:sz w:val="16"/>
              </w:rPr>
              <w:t>Salary</w:t>
            </w:r>
            <w:r>
              <w:rPr>
                <w:rFonts w:ascii="Arial;sans-serif" w:hAnsi="Arial;sans-serif"/>
                <w:b w:val="false"/>
                <w:color w:val="FFFFFF"/>
                <w:sz w:val="10"/>
              </w:rPr>
              <w:t>(1)</w:t>
            </w:r>
          </w:p>
        </w:tc>
        <w:tc>
          <w:tcPr>
            <w:tcW w:w="711" w:type="dxa"/>
            <w:gridSpan w:val="3"/>
            <w:tcBorders/>
            <w:shd w:fill="00205B" w:val="clear"/>
            <w:tcMar>
              <w:top w:w="0" w:type="dxa"/>
              <w:left w:w="0" w:type="dxa"/>
              <w:bottom w:w="0" w:type="dxa"/>
              <w:right w:w="0" w:type="dxa"/>
            </w:tcMar>
            <w:vAlign w:val="center"/>
          </w:tcPr>
          <w:p>
            <w:pPr>
              <w:pStyle w:val="TableContents"/>
              <w:bidi w:val="0"/>
              <w:spacing w:lineRule="auto" w:line="240" w:before="53" w:after="30"/>
              <w:jc w:val="center"/>
              <w:rPr/>
            </w:pPr>
            <w:r>
              <w:rPr>
                <w:rFonts w:ascii="Arial;sans-serif" w:hAnsi="Arial;sans-serif"/>
                <w:b w:val="false"/>
                <w:color w:val="FFFFFF"/>
                <w:sz w:val="16"/>
              </w:rPr>
              <w:t>Bonus</w:t>
            </w:r>
            <w:r>
              <w:rPr>
                <w:rFonts w:ascii="Arial;sans-serif" w:hAnsi="Arial;sans-serif"/>
                <w:b w:val="false"/>
                <w:color w:val="FFFFFF"/>
                <w:sz w:val="10"/>
              </w:rPr>
              <w:t>(2)</w:t>
            </w:r>
          </w:p>
        </w:tc>
        <w:tc>
          <w:tcPr>
            <w:tcW w:w="1266" w:type="dxa"/>
            <w:gridSpan w:val="3"/>
            <w:tcBorders/>
            <w:shd w:fill="00205B" w:val="clear"/>
            <w:tcMar>
              <w:top w:w="0" w:type="dxa"/>
              <w:left w:w="0" w:type="dxa"/>
              <w:bottom w:w="0" w:type="dxa"/>
              <w:right w:w="0" w:type="dxa"/>
            </w:tcMar>
            <w:vAlign w:val="center"/>
          </w:tcPr>
          <w:p>
            <w:pPr>
              <w:pStyle w:val="TableContents"/>
              <w:bidi w:val="0"/>
              <w:spacing w:lineRule="auto" w:line="240" w:before="53" w:after="30"/>
              <w:jc w:val="center"/>
              <w:rPr/>
            </w:pPr>
            <w:r>
              <w:rPr>
                <w:rFonts w:ascii="Arial;sans-serif" w:hAnsi="Arial;sans-serif"/>
                <w:b w:val="false"/>
                <w:color w:val="FFFFFF"/>
                <w:sz w:val="16"/>
              </w:rPr>
              <w:t>Stock Awards</w:t>
            </w:r>
            <w:r>
              <w:rPr>
                <w:rFonts w:ascii="Arial;sans-serif" w:hAnsi="Arial;sans-serif"/>
                <w:b w:val="false"/>
                <w:color w:val="FFFFFF"/>
                <w:sz w:val="10"/>
              </w:rPr>
              <w:t>(3)</w:t>
            </w:r>
          </w:p>
        </w:tc>
        <w:tc>
          <w:tcPr>
            <w:tcW w:w="845"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Options Awards</w:t>
            </w:r>
          </w:p>
        </w:tc>
        <w:tc>
          <w:tcPr>
            <w:tcW w:w="1500" w:type="dxa"/>
            <w:gridSpan w:val="3"/>
            <w:tcBorders/>
            <w:shd w:fill="00205B" w:val="clear"/>
            <w:tcMar>
              <w:top w:w="0" w:type="dxa"/>
              <w:left w:w="0" w:type="dxa"/>
              <w:bottom w:w="0" w:type="dxa"/>
              <w:right w:w="0" w:type="dxa"/>
            </w:tcMar>
            <w:vAlign w:val="center"/>
          </w:tcPr>
          <w:p>
            <w:pPr>
              <w:pStyle w:val="TableContents"/>
              <w:bidi w:val="0"/>
              <w:spacing w:lineRule="auto" w:line="333" w:before="53" w:after="30"/>
              <w:jc w:val="center"/>
              <w:rPr/>
            </w:pPr>
            <w:r>
              <w:rPr>
                <w:rFonts w:ascii="Arial;sans-serif" w:hAnsi="Arial;sans-serif"/>
                <w:b w:val="false"/>
                <w:color w:val="FFFFFF"/>
                <w:sz w:val="16"/>
              </w:rPr>
              <w:t>Non-Equity Plan Compensation</w:t>
            </w:r>
            <w:r>
              <w:rPr>
                <w:rFonts w:ascii="Arial;sans-serif" w:hAnsi="Arial;sans-serif"/>
                <w:b w:val="false"/>
                <w:color w:val="FFFFFF"/>
                <w:sz w:val="10"/>
              </w:rPr>
              <w:t>(4)</w:t>
            </w:r>
          </w:p>
        </w:tc>
        <w:tc>
          <w:tcPr>
            <w:tcW w:w="1369" w:type="dxa"/>
            <w:gridSpan w:val="3"/>
            <w:tcBorders>
              <w:right w:val="single" w:sz="4" w:space="0" w:color="000000"/>
            </w:tcBorders>
            <w:shd w:fill="00205B" w:val="clear"/>
            <w:tcMar>
              <w:top w:w="0" w:type="dxa"/>
              <w:left w:w="0" w:type="dxa"/>
              <w:bottom w:w="0" w:type="dxa"/>
            </w:tcMar>
            <w:vAlign w:val="center"/>
          </w:tcPr>
          <w:p>
            <w:pPr>
              <w:pStyle w:val="TableContents"/>
              <w:bidi w:val="0"/>
              <w:spacing w:lineRule="auto" w:line="333" w:before="53" w:after="30"/>
              <w:jc w:val="center"/>
              <w:rPr/>
            </w:pPr>
            <w:r>
              <w:rPr>
                <w:rFonts w:ascii="Arial;sans-serif" w:hAnsi="Arial;sans-serif"/>
                <w:b w:val="false"/>
                <w:color w:val="FFFFFF"/>
                <w:sz w:val="16"/>
              </w:rPr>
              <w:t>All Other Compensation</w:t>
            </w:r>
            <w:r>
              <w:rPr>
                <w:rFonts w:ascii="Arial;sans-serif" w:hAnsi="Arial;sans-serif"/>
                <w:b w:val="false"/>
                <w:color w:val="FFFFFF"/>
                <w:sz w:val="10"/>
              </w:rPr>
              <w:t>(5)</w:t>
            </w:r>
          </w:p>
        </w:tc>
        <w:tc>
          <w:tcPr>
            <w:tcW w:w="1317" w:type="dxa"/>
            <w:gridSpan w:val="3"/>
            <w:vMerge w:val="continue"/>
            <w:tcBorders>
              <w:top w:val="single" w:sz="12" w:space="0" w:color="00205B"/>
              <w:right w:val="single" w:sz="4" w:space="0" w:color="000000"/>
            </w:tcBorders>
            <w:shd w:fill="00205B" w:val="clear"/>
            <w:tcMar>
              <w:top w:w="30" w:type="dxa"/>
              <w:left w:w="0" w:type="dxa"/>
              <w:bottom w:w="0" w:type="dxa"/>
            </w:tcMar>
            <w:vAlign w:val="center"/>
          </w:tcPr>
          <w:p>
            <w:pPr>
              <w:pStyle w:val="Normal"/>
              <w:bidi w:val="0"/>
              <w:jc w:val="left"/>
              <w:rPr/>
            </w:pPr>
            <w:r>
              <w:rPr/>
            </w:r>
          </w:p>
        </w:tc>
      </w:tr>
      <w:tr>
        <w:trPr/>
        <w:tc>
          <w:tcPr>
            <w:tcW w:w="1690" w:type="dxa"/>
            <w:gridSpan w:val="3"/>
            <w:tcBorders>
              <w:top w:val="single" w:sz="12" w:space="0" w:color="00205B"/>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205B"/>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205B"/>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12" w:space="0" w:color="00205B"/>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12" w:space="0" w:color="00205B"/>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12" w:space="0" w:color="00205B"/>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12" w:space="0" w:color="00205B"/>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12" w:space="0" w:color="00205B"/>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0" w:after="0"/>
              <w:jc w:val="left"/>
              <w:rPr>
                <w:rFonts w:ascii="Arial;sans-serif" w:hAnsi="Arial;sans-serif"/>
                <w:b w:val="false"/>
                <w:color w:val="000000"/>
                <w:sz w:val="16"/>
              </w:rPr>
            </w:pPr>
            <w:r>
              <w:rPr>
                <w:rFonts w:ascii="Arial;sans-serif" w:hAnsi="Arial;sans-serif"/>
                <w:b w:val="false"/>
                <w:color w:val="000000"/>
                <w:sz w:val="16"/>
              </w:rPr>
              <w:t>Bradley L. Soultz</w:t>
            </w:r>
          </w:p>
          <w:p>
            <w:pPr>
              <w:pStyle w:val="TableContents"/>
              <w:bidi w:val="0"/>
              <w:spacing w:lineRule="auto" w:line="333" w:before="0" w:after="0"/>
              <w:jc w:val="left"/>
              <w:rPr>
                <w:rFonts w:ascii="Arial;sans-serif" w:hAnsi="Arial;sans-serif"/>
                <w:b w:val="false"/>
                <w:color w:val="000000"/>
                <w:sz w:val="16"/>
              </w:rPr>
            </w:pPr>
            <w:r>
              <w:rPr>
                <w:rFonts w:ascii="Arial;sans-serif" w:hAnsi="Arial;sans-serif"/>
                <w:b w:val="false"/>
                <w:color w:val="000000"/>
                <w:sz w:val="16"/>
              </w:rPr>
              <w:t>Chief Executive Officer</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967,745 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5,665,871 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1,723,971 </w:t>
            </w:r>
          </w:p>
        </w:tc>
        <w:tc>
          <w:tcPr>
            <w:tcW w:w="140"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34,062 </w:t>
            </w:r>
          </w:p>
        </w:tc>
        <w:tc>
          <w:tcPr>
            <w:tcW w:w="144"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8,391,649 </w:t>
            </w:r>
          </w:p>
        </w:tc>
        <w:tc>
          <w:tcPr>
            <w:tcW w:w="160" w:type="dxa"/>
            <w:tcBorders>
              <w:top w:val="single" w:sz="12" w:space="0" w:color="00205B"/>
              <w:right w:val="single" w:sz="12"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5,103,737 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2,517,372 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39,074 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8,594,799 </w:t>
            </w:r>
          </w:p>
        </w:tc>
        <w:tc>
          <w:tcPr>
            <w:tcW w:w="160" w:type="dxa"/>
            <w:tcBorders>
              <w:right w:val="single" w:sz="12"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14,635,168 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2,102,166 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36,727 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17,660,600 </w:t>
            </w:r>
          </w:p>
        </w:tc>
        <w:tc>
          <w:tcPr>
            <w:tcW w:w="160" w:type="dxa"/>
            <w:tcBorders>
              <w:right w:val="single" w:sz="12"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23" w:after="283"/>
              <w:jc w:val="left"/>
              <w:rPr>
                <w:rFonts w:ascii="Arial;sans-serif" w:hAnsi="Arial;sans-serif"/>
                <w:b w:val="false"/>
                <w:color w:val="000000"/>
                <w:sz w:val="16"/>
              </w:rPr>
            </w:pPr>
            <w:r>
              <w:rPr>
                <w:rFonts w:ascii="Arial;sans-serif" w:hAnsi="Arial;sans-serif"/>
                <w:b w:val="false"/>
                <w:color w:val="000000"/>
                <w:sz w:val="16"/>
              </w:rPr>
              <w:t xml:space="preserve">Timothy D. Boswell </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President and Chief Financial Officer</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647,112 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2,266,321 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961,674 </w:t>
            </w:r>
          </w:p>
        </w:tc>
        <w:tc>
          <w:tcPr>
            <w:tcW w:w="140"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30,355 </w:t>
            </w:r>
          </w:p>
        </w:tc>
        <w:tc>
          <w:tcPr>
            <w:tcW w:w="144"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3,905,461 </w:t>
            </w:r>
          </w:p>
        </w:tc>
        <w:tc>
          <w:tcPr>
            <w:tcW w:w="160" w:type="dxa"/>
            <w:tcBorders>
              <w:top w:val="single" w:sz="12" w:space="0" w:color="00205B"/>
              <w:right w:val="single" w:sz="12"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2,041,503 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1,398,540 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35,131 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4,098,252 </w:t>
            </w:r>
          </w:p>
        </w:tc>
        <w:tc>
          <w:tcPr>
            <w:tcW w:w="160" w:type="dxa"/>
            <w:tcBorders>
              <w:right w:val="single" w:sz="12"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8,760,710 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1,167,870 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509,160 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11,017,548 </w:t>
            </w:r>
          </w:p>
        </w:tc>
        <w:tc>
          <w:tcPr>
            <w:tcW w:w="160" w:type="dxa"/>
            <w:tcBorders>
              <w:right w:val="single" w:sz="12"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23" w:after="283"/>
              <w:jc w:val="left"/>
              <w:rPr>
                <w:rFonts w:ascii="Arial;sans-serif" w:hAnsi="Arial;sans-serif"/>
                <w:b w:val="false"/>
                <w:color w:val="000000"/>
                <w:sz w:val="16"/>
              </w:rPr>
            </w:pPr>
            <w:r>
              <w:rPr>
                <w:rFonts w:ascii="Arial;sans-serif" w:hAnsi="Arial;sans-serif"/>
                <w:b w:val="false"/>
                <w:color w:val="000000"/>
                <w:sz w:val="16"/>
              </w:rPr>
              <w:t xml:space="preserve">Hezron T. Lopez </w:t>
            </w:r>
          </w:p>
          <w:p>
            <w:pPr>
              <w:pStyle w:val="TableContents"/>
              <w:bidi w:val="0"/>
              <w:spacing w:lineRule="auto" w:line="333" w:before="0" w:after="30"/>
              <w:jc w:val="left"/>
              <w:rPr>
                <w:rFonts w:ascii="Arial;sans-serif" w:hAnsi="Arial;sans-serif"/>
                <w:b w:val="false"/>
                <w:color w:val="000000"/>
                <w:sz w:val="16"/>
              </w:rPr>
            </w:pPr>
            <w:r>
              <w:rPr>
                <w:rFonts w:ascii="Arial;sans-serif" w:hAnsi="Arial;sans-serif"/>
                <w:b w:val="false"/>
                <w:color w:val="000000"/>
                <w:sz w:val="16"/>
              </w:rPr>
              <w:t>EVP, Chief Legal &amp; Compliance Officer &amp; ESG</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540,346 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2,237,453 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576,628 </w:t>
            </w:r>
          </w:p>
        </w:tc>
        <w:tc>
          <w:tcPr>
            <w:tcW w:w="140"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190,997 </w:t>
            </w:r>
          </w:p>
        </w:tc>
        <w:tc>
          <w:tcPr>
            <w:tcW w:w="144"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3,545,425 </w:t>
            </w:r>
          </w:p>
        </w:tc>
        <w:tc>
          <w:tcPr>
            <w:tcW w:w="160" w:type="dxa"/>
            <w:tcBorders>
              <w:top w:val="single" w:sz="12" w:space="0" w:color="00205B"/>
              <w:right w:val="single" w:sz="12"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847,193 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51,292 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2,902,001 </w:t>
            </w:r>
          </w:p>
        </w:tc>
        <w:tc>
          <w:tcPr>
            <w:tcW w:w="160" w:type="dxa"/>
            <w:tcBorders>
              <w:right w:val="single" w:sz="12"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707,460 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60,880 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2,504,318 </w:t>
            </w:r>
          </w:p>
        </w:tc>
        <w:tc>
          <w:tcPr>
            <w:tcW w:w="160" w:type="dxa"/>
            <w:tcBorders>
              <w:right w:val="single" w:sz="12"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23" w:after="283"/>
              <w:jc w:val="left"/>
              <w:rPr>
                <w:rFonts w:ascii="Arial;sans-serif" w:hAnsi="Arial;sans-serif"/>
                <w:b w:val="false"/>
                <w:color w:val="000000"/>
                <w:sz w:val="16"/>
              </w:rPr>
            </w:pPr>
            <w:r>
              <w:rPr>
                <w:rFonts w:ascii="Arial;sans-serif" w:hAnsi="Arial;sans-serif"/>
                <w:b w:val="false"/>
                <w:color w:val="000000"/>
                <w:sz w:val="16"/>
              </w:rPr>
              <w:t>Felicia K. Gorcyca</w:t>
            </w:r>
          </w:p>
          <w:p>
            <w:pPr>
              <w:pStyle w:val="TableContents"/>
              <w:bidi w:val="0"/>
              <w:spacing w:lineRule="auto" w:line="240" w:before="0" w:after="0"/>
              <w:jc w:val="left"/>
              <w:rPr/>
            </w:pPr>
            <w:r>
              <w:rPr>
                <w:rFonts w:ascii="Arial;sans-serif" w:hAnsi="Arial;sans-serif"/>
                <w:b w:val="false"/>
                <w:color w:val="000000"/>
                <w:sz w:val="16"/>
              </w:rPr>
              <w:t>EVP, Chief Human Resources Officer</w:t>
            </w:r>
            <w:r>
              <w:rPr>
                <w:rFonts w:ascii="Arial;sans-serif" w:hAnsi="Arial;sans-serif"/>
                <w:b w:val="false"/>
                <w:color w:val="000000"/>
                <w:sz w:val="10"/>
              </w:rPr>
              <w:t>(6)</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216,346 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231,021 </w:t>
            </w:r>
          </w:p>
        </w:tc>
        <w:tc>
          <w:tcPr>
            <w:tcW w:w="140"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9,659 </w:t>
            </w:r>
          </w:p>
        </w:tc>
        <w:tc>
          <w:tcPr>
            <w:tcW w:w="144"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457,027 </w:t>
            </w:r>
          </w:p>
        </w:tc>
        <w:tc>
          <w:tcPr>
            <w:tcW w:w="160" w:type="dxa"/>
            <w:tcBorders>
              <w:top w:val="single" w:sz="12" w:space="0" w:color="00205B"/>
              <w:right w:val="single" w:sz="12"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17"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17"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169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23" w:after="283"/>
              <w:jc w:val="left"/>
              <w:rPr>
                <w:rFonts w:ascii="Arial;sans-serif" w:hAnsi="Arial;sans-serif"/>
                <w:b w:val="false"/>
                <w:color w:val="000000"/>
                <w:sz w:val="16"/>
              </w:rPr>
            </w:pPr>
            <w:r>
              <w:rPr>
                <w:rFonts w:ascii="Arial;sans-serif" w:hAnsi="Arial;sans-serif"/>
                <w:b w:val="false"/>
                <w:color w:val="000000"/>
                <w:sz w:val="16"/>
              </w:rPr>
              <w:t>Graeme Parkes</w:t>
            </w:r>
          </w:p>
          <w:p>
            <w:pPr>
              <w:pStyle w:val="TableContents"/>
              <w:bidi w:val="0"/>
              <w:spacing w:lineRule="auto" w:line="333" w:before="0" w:after="30"/>
              <w:jc w:val="left"/>
              <w:rPr/>
            </w:pPr>
            <w:r>
              <w:rPr>
                <w:rFonts w:ascii="Arial;sans-serif" w:hAnsi="Arial;sans-serif"/>
                <w:b w:val="false"/>
                <w:color w:val="000000"/>
                <w:sz w:val="16"/>
              </w:rPr>
              <w:t xml:space="preserve">EVP, Chief Information Officer </w:t>
            </w:r>
            <w:r>
              <w:rPr>
                <w:rFonts w:ascii="Arial;sans-serif" w:hAnsi="Arial;sans-serif"/>
                <w:b w:val="false"/>
                <w:color w:val="000000"/>
                <w:sz w:val="10"/>
              </w:rPr>
              <w:t>(7)</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432,277 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1,908,803 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384,419 </w:t>
            </w:r>
          </w:p>
        </w:tc>
        <w:tc>
          <w:tcPr>
            <w:tcW w:w="140"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23,763 </w:t>
            </w:r>
          </w:p>
        </w:tc>
        <w:tc>
          <w:tcPr>
            <w:tcW w:w="144"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2,749,262 </w:t>
            </w:r>
          </w:p>
        </w:tc>
        <w:tc>
          <w:tcPr>
            <w:tcW w:w="160" w:type="dxa"/>
            <w:tcBorders>
              <w:top w:val="single" w:sz="12" w:space="0" w:color="00205B"/>
              <w:right w:val="single" w:sz="12"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1,439,256 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564,795 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16,590 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2,439,294 </w:t>
            </w:r>
          </w:p>
        </w:tc>
        <w:tc>
          <w:tcPr>
            <w:tcW w:w="160" w:type="dxa"/>
            <w:tcBorders>
              <w:right w:val="single" w:sz="12"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1317" w:type="dxa"/>
            <w:gridSpan w:val="3"/>
            <w:tcBorders>
              <w:right w:val="single" w:sz="12" w:space="0" w:color="00205B"/>
            </w:tcBorders>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169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restart"/>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333" w:before="0" w:after="60"/>
              <w:jc w:val="left"/>
              <w:rPr>
                <w:rFonts w:ascii="Arial;sans-serif" w:hAnsi="Arial;sans-serif"/>
                <w:b w:val="false"/>
                <w:color w:val="000000"/>
                <w:sz w:val="16"/>
              </w:rPr>
            </w:pPr>
            <w:r>
              <w:rPr>
                <w:rFonts w:ascii="Arial;sans-serif" w:hAnsi="Arial;sans-serif"/>
                <w:b w:val="false"/>
                <w:color w:val="000000"/>
                <w:sz w:val="16"/>
              </w:rPr>
              <w:t xml:space="preserve">Sally J. Shanks </w:t>
            </w:r>
          </w:p>
          <w:p>
            <w:pPr>
              <w:pStyle w:val="TableContents"/>
              <w:bidi w:val="0"/>
              <w:spacing w:lineRule="auto" w:line="333" w:before="0" w:after="60"/>
              <w:jc w:val="left"/>
              <w:rPr>
                <w:rFonts w:ascii="Arial;sans-serif" w:hAnsi="Arial;sans-serif"/>
                <w:b w:val="false"/>
                <w:color w:val="000000"/>
                <w:sz w:val="16"/>
              </w:rPr>
            </w:pPr>
            <w:r>
              <w:rPr>
                <w:rFonts w:ascii="Arial;sans-serif" w:hAnsi="Arial;sans-serif"/>
                <w:b w:val="false"/>
                <w:color w:val="000000"/>
                <w:sz w:val="16"/>
              </w:rPr>
              <w:t>SVP, Chief Accounting Officer</w:t>
            </w:r>
          </w:p>
        </w:tc>
        <w:tc>
          <w:tcPr>
            <w:tcW w:w="466"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396,538 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1,045,656 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240,555 </w:t>
            </w:r>
          </w:p>
        </w:tc>
        <w:tc>
          <w:tcPr>
            <w:tcW w:w="140"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21,603 </w:t>
            </w:r>
          </w:p>
        </w:tc>
        <w:tc>
          <w:tcPr>
            <w:tcW w:w="144"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1,704,353 </w:t>
            </w:r>
          </w:p>
        </w:tc>
        <w:tc>
          <w:tcPr>
            <w:tcW w:w="160" w:type="dxa"/>
            <w:tcBorders>
              <w:top w:val="single" w:sz="12" w:space="0" w:color="00205B"/>
              <w:right w:val="single" w:sz="12"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322,740 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33,203 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1,368,911 </w:t>
            </w:r>
          </w:p>
        </w:tc>
        <w:tc>
          <w:tcPr>
            <w:tcW w:w="160" w:type="dxa"/>
            <w:tcBorders>
              <w:right w:val="single" w:sz="12"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vMerge w:val="continue"/>
            <w:tcBorders>
              <w:top w:val="single" w:sz="12" w:space="0" w:color="00205B"/>
              <w:left w:val="single" w:sz="12" w:space="0" w:color="00205B"/>
            </w:tcBorders>
            <w:tcMar>
              <w:top w:w="3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269,509 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28,404 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1,167,442 </w:t>
            </w:r>
          </w:p>
        </w:tc>
        <w:tc>
          <w:tcPr>
            <w:tcW w:w="160" w:type="dxa"/>
            <w:tcBorders>
              <w:right w:val="single" w:sz="12"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9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(1) Amounts in this column represent the dollar value of base salary we paid to our named executive officers.</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(2) Amounts in this column represent discretionary bonuses, retention bonuses and signing bonuses.</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 xml:space="preserve">(3) Amounts in this column for 2023 represent the aggregate grant fair value calculated in accordance with ASC 718 with respect to restricted stock unit grants to our named executive officers in March under our 2023 Incentive Award Plan (“LTIP”). For the assumptions used in determining these values, see Note 1 to our 2023 audited financial statements contained in this Annual Report on Form 10-K. </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(4) Amounts in this column represent payments under our STIP for 2023.</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(5) Amounts in this column for 2023 are set forth in the table below.</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(6) Ms. Gorcyca was appointed CHRO in June 2023.</w:t>
      </w:r>
    </w:p>
    <w:p>
      <w:pPr>
        <w:pStyle w:val="TextBody"/>
        <w:bidi w:val="0"/>
        <w:spacing w:lineRule="auto" w:line="288" w:before="0" w:after="240"/>
        <w:jc w:val="left"/>
        <w:rPr>
          <w:rFonts w:ascii="Arial;sans-serif" w:hAnsi="Arial;sans-serif"/>
          <w:b w:val="false"/>
          <w:i/>
          <w:color w:val="000000"/>
          <w:sz w:val="16"/>
        </w:rPr>
      </w:pPr>
      <w:r>
        <w:rPr>
          <w:rFonts w:ascii="Arial;sans-serif" w:hAnsi="Arial;sans-serif"/>
          <w:b w:val="false"/>
          <w:i/>
          <w:color w:val="000000"/>
          <w:sz w:val="16"/>
        </w:rPr>
        <w:t>(7) Mr. Parkes was not an NEO prior to 2022.</w:t>
      </w:r>
    </w:p>
    <w:tbl>
      <w:tblPr>
        <w:tblW w:w="10205" w:type="dxa"/>
        <w:jc w:val="left"/>
        <w:tblInd w:w="0" w:type="dxa"/>
        <w:tblLayout w:type="fixed"/>
        <w:tblCellMar>
          <w:top w:w="28" w:type="dxa"/>
          <w:left w:w="28" w:type="dxa"/>
          <w:bottom w:w="28" w:type="dxa"/>
          <w:right w:w="28" w:type="dxa"/>
        </w:tblCellMar>
      </w:tblPr>
      <w:tblGrid>
        <w:gridCol w:w="432"/>
        <w:gridCol w:w="334"/>
        <w:gridCol w:w="339"/>
        <w:gridCol w:w="271"/>
        <w:gridCol w:w="715"/>
        <w:gridCol w:w="141"/>
        <w:gridCol w:w="344"/>
        <w:gridCol w:w="1136"/>
        <w:gridCol w:w="191"/>
        <w:gridCol w:w="617"/>
        <w:gridCol w:w="2039"/>
        <w:gridCol w:w="347"/>
        <w:gridCol w:w="240"/>
        <w:gridCol w:w="792"/>
        <w:gridCol w:w="133"/>
        <w:gridCol w:w="196"/>
        <w:gridCol w:w="736"/>
        <w:gridCol w:w="109"/>
        <w:gridCol w:w="196"/>
        <w:gridCol w:w="736"/>
        <w:gridCol w:w="161"/>
      </w:tblGrid>
      <w:tr>
        <w:trPr/>
        <w:tc>
          <w:tcPr>
            <w:tcW w:w="4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05"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Name</w:t>
            </w:r>
          </w:p>
        </w:tc>
        <w:tc>
          <w:tcPr>
            <w:tcW w:w="1127"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Auto Allowance</w:t>
            </w:r>
          </w:p>
        </w:tc>
        <w:tc>
          <w:tcPr>
            <w:tcW w:w="1671"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Employer 401(k) Contributions</w:t>
            </w:r>
          </w:p>
        </w:tc>
        <w:tc>
          <w:tcPr>
            <w:tcW w:w="3003"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Life and Supplemental Individual Disability Insurance Premiums</w:t>
            </w:r>
          </w:p>
        </w:tc>
        <w:tc>
          <w:tcPr>
            <w:tcW w:w="1165"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Other Allowance</w:t>
            </w:r>
          </w:p>
        </w:tc>
        <w:tc>
          <w:tcPr>
            <w:tcW w:w="1041"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Relocation</w:t>
            </w:r>
          </w:p>
        </w:tc>
        <w:tc>
          <w:tcPr>
            <w:tcW w:w="1093"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r>
          </w:p>
        </w:tc>
      </w:tr>
      <w:tr>
        <w:trPr/>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Bradley L. Soultz</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3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15,462 </w:t>
            </w:r>
          </w:p>
        </w:tc>
        <w:tc>
          <w:tcPr>
            <w:tcW w:w="3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34,062 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Timothy D. Boswell</w:t>
            </w:r>
          </w:p>
        </w:tc>
        <w:tc>
          <w:tcPr>
            <w:tcW w:w="27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5"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3,750 </w:t>
            </w:r>
          </w:p>
        </w:tc>
        <w:tc>
          <w:tcPr>
            <w:tcW w:w="14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14,850 </w:t>
            </w:r>
          </w:p>
        </w:tc>
        <w:tc>
          <w:tcPr>
            <w:tcW w:w="19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39"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11,733 </w:t>
            </w:r>
          </w:p>
        </w:tc>
        <w:tc>
          <w:tcPr>
            <w:tcW w:w="347"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33"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30,355 </w:t>
            </w:r>
          </w:p>
        </w:tc>
        <w:tc>
          <w:tcPr>
            <w:tcW w:w="16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Hezron T. Lopez</w:t>
            </w:r>
          </w:p>
        </w:tc>
        <w:tc>
          <w:tcPr>
            <w:tcW w:w="27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14,850 </w:t>
            </w:r>
          </w:p>
        </w:tc>
        <w:tc>
          <w:tcPr>
            <w:tcW w:w="19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39"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25,348 </w:t>
            </w:r>
          </w:p>
        </w:tc>
        <w:tc>
          <w:tcPr>
            <w:tcW w:w="347"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40,000 </w:t>
            </w:r>
          </w:p>
        </w:tc>
        <w:tc>
          <w:tcPr>
            <w:tcW w:w="133"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110,800 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190,997 </w:t>
            </w:r>
          </w:p>
        </w:tc>
        <w:tc>
          <w:tcPr>
            <w:tcW w:w="16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Felicia K. Gorcyca</w:t>
            </w:r>
          </w:p>
        </w:tc>
        <w:tc>
          <w:tcPr>
            <w:tcW w:w="27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8,567 </w:t>
            </w:r>
          </w:p>
        </w:tc>
        <w:tc>
          <w:tcPr>
            <w:tcW w:w="19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39"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1,092 </w:t>
            </w:r>
          </w:p>
        </w:tc>
        <w:tc>
          <w:tcPr>
            <w:tcW w:w="347"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9,659 </w:t>
            </w:r>
          </w:p>
        </w:tc>
        <w:tc>
          <w:tcPr>
            <w:tcW w:w="16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Graeme Parkes</w:t>
            </w:r>
          </w:p>
        </w:tc>
        <w:tc>
          <w:tcPr>
            <w:tcW w:w="271"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5"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14,850 </w:t>
            </w:r>
          </w:p>
        </w:tc>
        <w:tc>
          <w:tcPr>
            <w:tcW w:w="19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39"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8,913 </w:t>
            </w:r>
          </w:p>
        </w:tc>
        <w:tc>
          <w:tcPr>
            <w:tcW w:w="347"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23,763 </w:t>
            </w:r>
          </w:p>
        </w:tc>
        <w:tc>
          <w:tcPr>
            <w:tcW w:w="161" w:type="dxa"/>
            <w:tcBorders>
              <w:top w:val="single" w:sz="12"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Sally J. Shanks</w:t>
            </w:r>
          </w:p>
        </w:tc>
        <w:tc>
          <w:tcPr>
            <w:tcW w:w="271"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5"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3,750 </w:t>
            </w:r>
          </w:p>
        </w:tc>
        <w:tc>
          <w:tcPr>
            <w:tcW w:w="141"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36"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14,850 </w:t>
            </w:r>
          </w:p>
        </w:tc>
        <w:tc>
          <w:tcPr>
            <w:tcW w:w="191"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039"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3,003 </w:t>
            </w:r>
          </w:p>
        </w:tc>
        <w:tc>
          <w:tcPr>
            <w:tcW w:w="347"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21,603 </w:t>
            </w:r>
          </w:p>
        </w:tc>
        <w:tc>
          <w:tcPr>
            <w:tcW w:w="161" w:type="dxa"/>
            <w:tcBorders>
              <w:top w:val="single" w:sz="12" w:space="0" w:color="00205B"/>
              <w:bottom w:val="single" w:sz="16"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Grants of Plan-Based Awards for Fiscal Year 2023</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The following table sets forth information regarding all grants of plan-based awards that we made to our NEOs during 2023. The information supplements the disclosure of stock and non-equity incentive plan awards in the Summary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6840"/>
                <wp:effectExtent l="0" t="0" r="0" b="0"/>
                <wp:wrapNone/>
                <wp:docPr id="147" name="Frame1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Table by providing additional details about these awards. Non-equity incentive plan awards are awards that are not subject to ASC 718 and are intended to serve as an incentive for performance to occur over a specified period.</w:t>
      </w:r>
    </w:p>
    <w:tbl>
      <w:tblPr>
        <w:tblW w:w="10205" w:type="dxa"/>
        <w:jc w:val="left"/>
        <w:tblInd w:w="0" w:type="dxa"/>
        <w:tblLayout w:type="fixed"/>
        <w:tblCellMar>
          <w:top w:w="28" w:type="dxa"/>
          <w:left w:w="28" w:type="dxa"/>
          <w:bottom w:w="28" w:type="dxa"/>
          <w:right w:w="28" w:type="dxa"/>
        </w:tblCellMar>
      </w:tblPr>
      <w:tblGrid>
        <w:gridCol w:w="327"/>
        <w:gridCol w:w="220"/>
        <w:gridCol w:w="224"/>
        <w:gridCol w:w="170"/>
        <w:gridCol w:w="170"/>
        <w:gridCol w:w="171"/>
        <w:gridCol w:w="193"/>
        <w:gridCol w:w="691"/>
        <w:gridCol w:w="116"/>
        <w:gridCol w:w="193"/>
        <w:gridCol w:w="691"/>
        <w:gridCol w:w="116"/>
        <w:gridCol w:w="193"/>
        <w:gridCol w:w="820"/>
        <w:gridCol w:w="116"/>
        <w:gridCol w:w="501"/>
        <w:gridCol w:w="178"/>
        <w:gridCol w:w="164"/>
        <w:gridCol w:w="335"/>
        <w:gridCol w:w="164"/>
        <w:gridCol w:w="164"/>
        <w:gridCol w:w="501"/>
        <w:gridCol w:w="165"/>
        <w:gridCol w:w="164"/>
        <w:gridCol w:w="240"/>
        <w:gridCol w:w="240"/>
        <w:gridCol w:w="241"/>
        <w:gridCol w:w="284"/>
        <w:gridCol w:w="284"/>
        <w:gridCol w:w="285"/>
        <w:gridCol w:w="252"/>
        <w:gridCol w:w="252"/>
        <w:gridCol w:w="253"/>
        <w:gridCol w:w="182"/>
        <w:gridCol w:w="774"/>
        <w:gridCol w:w="171"/>
      </w:tblGrid>
      <w:tr>
        <w:trPr/>
        <w:tc>
          <w:tcPr>
            <w:tcW w:w="32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71"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9" w:type="dxa"/>
            <w:gridSpan w:val="9"/>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Estimated Future Payouts Under Non-Equity Incentive Plan Awards</w:t>
            </w:r>
          </w:p>
        </w:tc>
        <w:tc>
          <w:tcPr>
            <w:tcW w:w="2336" w:type="dxa"/>
            <w:gridSpan w:val="9"/>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Estimated Future Payouts Under Equity Incentive Plan Awards (PSU)</w:t>
            </w:r>
          </w:p>
        </w:tc>
        <w:tc>
          <w:tcPr>
            <w:tcW w:w="3458" w:type="dxa"/>
            <w:gridSpan w:val="12"/>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Awards</w:t>
            </w:r>
          </w:p>
        </w:tc>
      </w:tr>
      <w:tr>
        <w:trPr/>
        <w:tc>
          <w:tcPr>
            <w:tcW w:w="771"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4"/>
              </w:rPr>
            </w:pPr>
            <w:r>
              <w:rPr>
                <w:rFonts w:ascii="Arial;sans-serif" w:hAnsi="Arial;sans-serif"/>
                <w:b/>
                <w:color w:val="FFFFFF"/>
                <w:sz w:val="14"/>
              </w:rPr>
              <w:t>Name</w:t>
            </w:r>
          </w:p>
        </w:tc>
        <w:tc>
          <w:tcPr>
            <w:tcW w:w="511"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Grant Date</w:t>
            </w:r>
          </w:p>
        </w:tc>
        <w:tc>
          <w:tcPr>
            <w:tcW w:w="1000" w:type="dxa"/>
            <w:gridSpan w:val="3"/>
            <w:tcBorders>
              <w:top w:val="single" w:sz="8" w:space="0" w:color="FFFFFF"/>
            </w:tcBorders>
            <w:shd w:fill="0020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Threshold ($)</w:t>
            </w:r>
          </w:p>
        </w:tc>
        <w:tc>
          <w:tcPr>
            <w:tcW w:w="1000" w:type="dxa"/>
            <w:gridSpan w:val="3"/>
            <w:tcBorders>
              <w:top w:val="single" w:sz="8" w:space="0" w:color="FFFFFF"/>
            </w:tcBorders>
            <w:shd w:fill="0020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Target ($)</w:t>
            </w:r>
          </w:p>
        </w:tc>
        <w:tc>
          <w:tcPr>
            <w:tcW w:w="1129" w:type="dxa"/>
            <w:gridSpan w:val="3"/>
            <w:tcBorders>
              <w:top w:val="single" w:sz="8" w:space="0" w:color="FFFFFF"/>
            </w:tcBorders>
            <w:shd w:fill="0020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Maximum ($)</w:t>
            </w:r>
          </w:p>
        </w:tc>
        <w:tc>
          <w:tcPr>
            <w:tcW w:w="843" w:type="dxa"/>
            <w:gridSpan w:val="3"/>
            <w:tcBorders>
              <w:top w:val="single" w:sz="8" w:space="0" w:color="FFFFFF"/>
            </w:tcBorders>
            <w:shd w:fill="0020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Threshold (#)</w:t>
            </w:r>
          </w:p>
        </w:tc>
        <w:tc>
          <w:tcPr>
            <w:tcW w:w="663" w:type="dxa"/>
            <w:gridSpan w:val="3"/>
            <w:tcBorders>
              <w:top w:val="single" w:sz="8" w:space="0" w:color="FFFFFF"/>
            </w:tcBorders>
            <w:shd w:fill="0020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Target (#)</w:t>
            </w:r>
          </w:p>
        </w:tc>
        <w:tc>
          <w:tcPr>
            <w:tcW w:w="830" w:type="dxa"/>
            <w:gridSpan w:val="3"/>
            <w:tcBorders>
              <w:top w:val="single" w:sz="8" w:space="0" w:color="FFFFFF"/>
            </w:tcBorders>
            <w:shd w:fill="0020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Maximum (#)</w:t>
            </w:r>
          </w:p>
        </w:tc>
        <w:tc>
          <w:tcPr>
            <w:tcW w:w="721"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All Other Stock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Awards: Number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of Shares of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Stock or Units (#)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RSU Only</w:t>
            </w:r>
          </w:p>
        </w:tc>
        <w:tc>
          <w:tcPr>
            <w:tcW w:w="853"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All Other Option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Awards: Number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of Securities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Underlying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Options (#)</w:t>
            </w:r>
          </w:p>
        </w:tc>
        <w:tc>
          <w:tcPr>
            <w:tcW w:w="757"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Exercise or Base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Price of Option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Awards ($/Sh)</w:t>
            </w:r>
          </w:p>
        </w:tc>
        <w:tc>
          <w:tcPr>
            <w:tcW w:w="1127"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Grant Date Fair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Value of Stock</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and Option </w:t>
            </w:r>
          </w:p>
          <w:p>
            <w:pPr>
              <w:pStyle w:val="TableContents"/>
              <w:bidi w:val="0"/>
              <w:spacing w:lineRule="auto" w:line="333" w:before="0" w:after="0"/>
              <w:jc w:val="center"/>
              <w:rPr/>
            </w:pPr>
            <w:r>
              <w:rPr>
                <w:rFonts w:ascii="Arial;sans-serif" w:hAnsi="Arial;sans-serif"/>
                <w:b/>
                <w:color w:val="FFFFFF"/>
                <w:sz w:val="14"/>
              </w:rPr>
              <w:t>Awards ($)</w:t>
            </w:r>
            <w:r>
              <w:rPr>
                <w:rFonts w:ascii="Arial;sans-serif" w:hAnsi="Arial;sans-serif"/>
                <w:b/>
                <w:color w:val="FFFFFF"/>
                <w:sz w:val="9"/>
              </w:rPr>
              <w:t>(1)</w:t>
            </w:r>
          </w:p>
        </w:tc>
      </w:tr>
      <w:tr>
        <w:trPr/>
        <w:tc>
          <w:tcPr>
            <w:tcW w:w="771"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Arial;sans-serif" w:hAnsi="Arial;sans-serif"/>
                <w:b w:val="false"/>
                <w:color w:val="000000"/>
                <w:sz w:val="14"/>
              </w:rPr>
            </w:pPr>
            <w:r>
              <w:rPr>
                <w:rFonts w:ascii="Arial;sans-serif" w:hAnsi="Arial;sans-serif"/>
                <w:b w:val="false"/>
                <w:color w:val="000000"/>
                <w:sz w:val="14"/>
              </w:rPr>
              <w:t>Bradley L. Soultz</w:t>
            </w:r>
          </w:p>
        </w:tc>
        <w:tc>
          <w:tcPr>
            <w:tcW w:w="511"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2/24/2023</w:t>
            </w:r>
          </w:p>
        </w:tc>
        <w:tc>
          <w:tcPr>
            <w:tcW w:w="193" w:type="dxa"/>
            <w:tcBorders>
              <w:left w:val="single" w:sz="8" w:space="0" w:color="D4D4D4"/>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734,580 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left w:val="single" w:sz="8" w:space="0" w:color="D4D4D4"/>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146,916 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left w:val="single" w:sz="8" w:space="0" w:color="D4D4D4"/>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2,938,321 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31,041</w:t>
            </w:r>
          </w:p>
        </w:tc>
        <w:tc>
          <w:tcPr>
            <w:tcW w:w="663"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62,081</w:t>
            </w:r>
          </w:p>
        </w:tc>
        <w:tc>
          <w:tcPr>
            <w:tcW w:w="830"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124,162</w:t>
            </w:r>
          </w:p>
        </w:tc>
        <w:tc>
          <w:tcPr>
            <w:tcW w:w="721" w:type="dxa"/>
            <w:gridSpan w:val="3"/>
            <w:tcBorders>
              <w:left w:val="single" w:sz="8" w:space="0" w:color="D4D4D4"/>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26,606</w:t>
            </w:r>
          </w:p>
        </w:tc>
        <w:tc>
          <w:tcPr>
            <w:tcW w:w="853"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left w:val="single" w:sz="8" w:space="0" w:color="D4D4D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left w:val="single" w:sz="8" w:space="0" w:color="D4D4D4"/>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7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5,665,871 </w:t>
            </w:r>
          </w:p>
        </w:tc>
        <w:tc>
          <w:tcPr>
            <w:tcW w:w="171" w:type="dxa"/>
            <w:tcBorders>
              <w:right w:val="single" w:sz="8" w:space="0" w:color="D4D4D4"/>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Timothy D. Boswell</w:t>
            </w:r>
          </w:p>
        </w:tc>
        <w:tc>
          <w:tcPr>
            <w:tcW w:w="511"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2/24/2023</w:t>
            </w:r>
          </w:p>
        </w:tc>
        <w:tc>
          <w:tcPr>
            <w:tcW w:w="193"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409,767 </w:t>
            </w:r>
          </w:p>
        </w:tc>
        <w:tc>
          <w:tcPr>
            <w:tcW w:w="116"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819,534 </w:t>
            </w:r>
          </w:p>
        </w:tc>
        <w:tc>
          <w:tcPr>
            <w:tcW w:w="116"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20"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1,639,068 </w:t>
            </w:r>
          </w:p>
        </w:tc>
        <w:tc>
          <w:tcPr>
            <w:tcW w:w="116"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12,416</w:t>
            </w:r>
          </w:p>
        </w:tc>
        <w:tc>
          <w:tcPr>
            <w:tcW w:w="663"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24,832</w:t>
            </w:r>
          </w:p>
        </w:tc>
        <w:tc>
          <w:tcPr>
            <w:tcW w:w="830"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49,664</w:t>
            </w:r>
          </w:p>
        </w:tc>
        <w:tc>
          <w:tcPr>
            <w:tcW w:w="721"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10,642</w:t>
            </w:r>
          </w:p>
        </w:tc>
        <w:tc>
          <w:tcPr>
            <w:tcW w:w="853"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74"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2,266,321 </w:t>
            </w:r>
          </w:p>
        </w:tc>
        <w:tc>
          <w:tcPr>
            <w:tcW w:w="171" w:type="dxa"/>
            <w:tcBorders>
              <w:top w:val="single" w:sz="4" w:space="0" w:color="1D2758"/>
              <w:right w:val="single" w:sz="8" w:space="0" w:color="D4D4D4"/>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88" w:before="33" w:after="30"/>
              <w:jc w:val="left"/>
              <w:rPr>
                <w:rFonts w:ascii="Arial;sans-serif" w:hAnsi="Arial;sans-serif"/>
                <w:b w:val="false"/>
                <w:color w:val="000000"/>
                <w:sz w:val="14"/>
              </w:rPr>
            </w:pPr>
            <w:r>
              <w:rPr>
                <w:rFonts w:ascii="Arial;sans-serif" w:hAnsi="Arial;sans-serif"/>
                <w:b w:val="false"/>
                <w:color w:val="000000"/>
                <w:sz w:val="14"/>
              </w:rPr>
              <w:t>Hezron T. Lopez</w:t>
            </w:r>
          </w:p>
        </w:tc>
        <w:tc>
          <w:tcPr>
            <w:tcW w:w="511"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2/24/2023</w:t>
            </w:r>
          </w:p>
        </w:tc>
        <w:tc>
          <w:tcPr>
            <w:tcW w:w="193"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245,700 </w:t>
            </w:r>
          </w:p>
        </w:tc>
        <w:tc>
          <w:tcPr>
            <w:tcW w:w="116"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491,400 </w:t>
            </w:r>
          </w:p>
        </w:tc>
        <w:tc>
          <w:tcPr>
            <w:tcW w:w="116"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20"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982,800 </w:t>
            </w:r>
          </w:p>
        </w:tc>
        <w:tc>
          <w:tcPr>
            <w:tcW w:w="116"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13,935</w:t>
            </w:r>
          </w:p>
        </w:tc>
        <w:tc>
          <w:tcPr>
            <w:tcW w:w="663"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27,869</w:t>
            </w:r>
          </w:p>
        </w:tc>
        <w:tc>
          <w:tcPr>
            <w:tcW w:w="830"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55,738</w:t>
            </w:r>
          </w:p>
        </w:tc>
        <w:tc>
          <w:tcPr>
            <w:tcW w:w="721"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5,912</w:t>
            </w:r>
          </w:p>
        </w:tc>
        <w:tc>
          <w:tcPr>
            <w:tcW w:w="853"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74"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2,237,453 </w:t>
            </w:r>
          </w:p>
        </w:tc>
        <w:tc>
          <w:tcPr>
            <w:tcW w:w="171" w:type="dxa"/>
            <w:tcBorders>
              <w:top w:val="single" w:sz="4" w:space="0" w:color="1D2758"/>
              <w:right w:val="single" w:sz="8" w:space="0" w:color="D4D4D4"/>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40" w:before="33" w:after="30"/>
              <w:jc w:val="left"/>
              <w:rPr/>
            </w:pPr>
            <w:r>
              <w:rPr>
                <w:rFonts w:ascii="Arial;sans-serif" w:hAnsi="Arial;sans-serif"/>
                <w:b w:val="false"/>
                <w:color w:val="000000"/>
                <w:sz w:val="14"/>
              </w:rPr>
              <w:t>Felicia K. Gorcyca</w:t>
            </w:r>
            <w:r>
              <w:rPr>
                <w:rFonts w:ascii="Arial;sans-serif" w:hAnsi="Arial;sans-serif"/>
                <w:b w:val="false"/>
                <w:color w:val="000000"/>
                <w:sz w:val="9"/>
              </w:rPr>
              <w:t>(2)</w:t>
            </w:r>
          </w:p>
        </w:tc>
        <w:tc>
          <w:tcPr>
            <w:tcW w:w="511"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w:t>
            </w:r>
          </w:p>
        </w:tc>
        <w:tc>
          <w:tcPr>
            <w:tcW w:w="1000"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33" w:after="30"/>
              <w:jc w:val="center"/>
              <w:rPr>
                <w:rFonts w:ascii="Arial;sans-serif" w:hAnsi="Arial;sans-serif"/>
                <w:b w:val="false"/>
                <w:color w:val="000000"/>
                <w:sz w:val="14"/>
              </w:rPr>
            </w:pPr>
            <w:r>
              <w:rPr>
                <w:rFonts w:ascii="Arial;sans-serif" w:hAnsi="Arial;sans-serif"/>
                <w:b w:val="false"/>
                <w:color w:val="000000"/>
                <w:sz w:val="14"/>
              </w:rPr>
              <w:t>N/A</w:t>
            </w:r>
          </w:p>
        </w:tc>
        <w:tc>
          <w:tcPr>
            <w:tcW w:w="1000"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33" w:after="30"/>
              <w:jc w:val="center"/>
              <w:rPr>
                <w:rFonts w:ascii="Arial;sans-serif" w:hAnsi="Arial;sans-serif"/>
                <w:b w:val="false"/>
                <w:color w:val="000000"/>
                <w:sz w:val="14"/>
              </w:rPr>
            </w:pPr>
            <w:r>
              <w:rPr>
                <w:rFonts w:ascii="Arial;sans-serif" w:hAnsi="Arial;sans-serif"/>
                <w:b w:val="false"/>
                <w:color w:val="000000"/>
                <w:sz w:val="14"/>
              </w:rPr>
              <w:t>N/A</w:t>
            </w:r>
          </w:p>
        </w:tc>
        <w:tc>
          <w:tcPr>
            <w:tcW w:w="112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33" w:after="30"/>
              <w:jc w:val="center"/>
              <w:rPr>
                <w:rFonts w:ascii="Arial;sans-serif" w:hAnsi="Arial;sans-serif"/>
                <w:b w:val="false"/>
                <w:color w:val="000000"/>
                <w:sz w:val="14"/>
              </w:rPr>
            </w:pPr>
            <w:r>
              <w:rPr>
                <w:rFonts w:ascii="Arial;sans-serif" w:hAnsi="Arial;sans-serif"/>
                <w:b w:val="false"/>
                <w:color w:val="000000"/>
                <w:sz w:val="14"/>
              </w:rPr>
              <w:t>N/A</w:t>
            </w:r>
          </w:p>
        </w:tc>
        <w:tc>
          <w:tcPr>
            <w:tcW w:w="843"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w:t>
            </w:r>
          </w:p>
        </w:tc>
        <w:tc>
          <w:tcPr>
            <w:tcW w:w="663"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w:t>
            </w:r>
          </w:p>
        </w:tc>
        <w:tc>
          <w:tcPr>
            <w:tcW w:w="830"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w:t>
            </w:r>
          </w:p>
        </w:tc>
        <w:tc>
          <w:tcPr>
            <w:tcW w:w="721"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w:t>
            </w:r>
          </w:p>
        </w:tc>
        <w:tc>
          <w:tcPr>
            <w:tcW w:w="853"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4" w:space="0" w:color="1D2758"/>
              <w:left w:val="single" w:sz="8" w:space="0" w:color="D4D4D4"/>
              <w:right w:val="single" w:sz="8" w:space="0" w:color="D4D4D4"/>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w:t>
            </w:r>
          </w:p>
        </w:tc>
      </w:tr>
      <w:tr>
        <w:trPr/>
        <w:tc>
          <w:tcPr>
            <w:tcW w:w="771" w:type="dxa"/>
            <w:gridSpan w:val="3"/>
            <w:tcBorders>
              <w:top w:val="single" w:sz="4" w:space="0" w:color="1D2758"/>
            </w:tcBorders>
            <w:tcMar>
              <w:top w:w="30" w:type="dxa"/>
              <w:left w:w="0" w:type="dxa"/>
              <w:bottom w:w="0" w:type="dxa"/>
              <w:right w:w="0" w:type="dxa"/>
            </w:tcMar>
            <w:vAlign w:val="center"/>
          </w:tcPr>
          <w:p>
            <w:pPr>
              <w:pStyle w:val="TableContents"/>
              <w:bidi w:val="0"/>
              <w:spacing w:lineRule="auto" w:line="288" w:before="33" w:after="30"/>
              <w:jc w:val="left"/>
              <w:rPr>
                <w:rFonts w:ascii="Arial;sans-serif" w:hAnsi="Arial;sans-serif"/>
                <w:b w:val="false"/>
                <w:color w:val="000000"/>
                <w:sz w:val="14"/>
              </w:rPr>
            </w:pPr>
            <w:r>
              <w:rPr>
                <w:rFonts w:ascii="Arial;sans-serif" w:hAnsi="Arial;sans-serif"/>
                <w:b w:val="false"/>
                <w:color w:val="000000"/>
                <w:sz w:val="14"/>
              </w:rPr>
              <w:t>Graeme Parkes</w:t>
            </w:r>
          </w:p>
        </w:tc>
        <w:tc>
          <w:tcPr>
            <w:tcW w:w="511"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2/24/2023</w:t>
            </w:r>
          </w:p>
        </w:tc>
        <w:tc>
          <w:tcPr>
            <w:tcW w:w="193"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163,800 </w:t>
            </w:r>
          </w:p>
        </w:tc>
        <w:tc>
          <w:tcPr>
            <w:tcW w:w="116"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327,600 </w:t>
            </w:r>
          </w:p>
        </w:tc>
        <w:tc>
          <w:tcPr>
            <w:tcW w:w="116"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20"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655,200 </w:t>
            </w:r>
          </w:p>
        </w:tc>
        <w:tc>
          <w:tcPr>
            <w:tcW w:w="116"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11,841</w:t>
            </w:r>
          </w:p>
        </w:tc>
        <w:tc>
          <w:tcPr>
            <w:tcW w:w="663"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23,681</w:t>
            </w:r>
          </w:p>
        </w:tc>
        <w:tc>
          <w:tcPr>
            <w:tcW w:w="830"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47,362</w:t>
            </w:r>
          </w:p>
        </w:tc>
        <w:tc>
          <w:tcPr>
            <w:tcW w:w="721"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5,173</w:t>
            </w:r>
          </w:p>
        </w:tc>
        <w:tc>
          <w:tcPr>
            <w:tcW w:w="853"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74"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1,908,803 </w:t>
            </w:r>
          </w:p>
        </w:tc>
        <w:tc>
          <w:tcPr>
            <w:tcW w:w="171" w:type="dxa"/>
            <w:tcBorders>
              <w:top w:val="single" w:sz="4" w:space="0" w:color="1D2758"/>
              <w:right w:val="single" w:sz="8" w:space="0" w:color="D4D4D4"/>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71" w:type="dxa"/>
            <w:gridSpan w:val="3"/>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lineRule="auto" w:line="288" w:before="33" w:after="30"/>
              <w:jc w:val="left"/>
              <w:rPr>
                <w:rFonts w:ascii="Arial;sans-serif" w:hAnsi="Arial;sans-serif"/>
                <w:b w:val="false"/>
                <w:color w:val="000000"/>
                <w:sz w:val="14"/>
              </w:rPr>
            </w:pPr>
            <w:r>
              <w:rPr>
                <w:rFonts w:ascii="Arial;sans-serif" w:hAnsi="Arial;sans-serif"/>
                <w:b w:val="false"/>
                <w:color w:val="000000"/>
                <w:sz w:val="14"/>
              </w:rPr>
              <w:t>Sally J. Shanks</w:t>
            </w:r>
          </w:p>
        </w:tc>
        <w:tc>
          <w:tcPr>
            <w:tcW w:w="511"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2/24/2023</w:t>
            </w:r>
          </w:p>
        </w:tc>
        <w:tc>
          <w:tcPr>
            <w:tcW w:w="193" w:type="dxa"/>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102,500 </w:t>
            </w:r>
          </w:p>
        </w:tc>
        <w:tc>
          <w:tcPr>
            <w:tcW w:w="116" w:type="dxa"/>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205,000 </w:t>
            </w:r>
          </w:p>
        </w:tc>
        <w:tc>
          <w:tcPr>
            <w:tcW w:w="116" w:type="dxa"/>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20" w:type="dxa"/>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410,000 </w:t>
            </w:r>
          </w:p>
        </w:tc>
        <w:tc>
          <w:tcPr>
            <w:tcW w:w="116" w:type="dxa"/>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6,640</w:t>
            </w:r>
          </w:p>
        </w:tc>
        <w:tc>
          <w:tcPr>
            <w:tcW w:w="663"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13,279</w:t>
            </w:r>
          </w:p>
        </w:tc>
        <w:tc>
          <w:tcPr>
            <w:tcW w:w="830"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26,558</w:t>
            </w:r>
          </w:p>
        </w:tc>
        <w:tc>
          <w:tcPr>
            <w:tcW w:w="721"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2,414</w:t>
            </w:r>
          </w:p>
        </w:tc>
        <w:tc>
          <w:tcPr>
            <w:tcW w:w="853" w:type="dxa"/>
            <w:gridSpan w:val="3"/>
            <w:tcBorders>
              <w:top w:val="single" w:sz="4" w:space="0" w:color="1D2758"/>
              <w:left w:val="single" w:sz="8" w:space="0" w:color="D4D4D4"/>
              <w:bottom w:val="single" w:sz="4" w:space="0" w:color="1D2758"/>
            </w:tcBorders>
            <w:tcMar>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4" w:space="0" w:color="1D2758"/>
              <w:left w:val="single" w:sz="8" w:space="0" w:color="D4D4D4"/>
              <w:bottom w:val="single" w:sz="4" w:space="0" w:color="1D2758"/>
            </w:tcBorders>
            <w:tcMar>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74" w:type="dxa"/>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1,045,656 </w:t>
            </w:r>
          </w:p>
        </w:tc>
        <w:tc>
          <w:tcPr>
            <w:tcW w:w="171" w:type="dxa"/>
            <w:tcBorders>
              <w:top w:val="single" w:sz="4" w:space="0" w:color="1D2758"/>
              <w:bottom w:val="single" w:sz="4" w:space="0" w:color="1D2758"/>
              <w:right w:val="single" w:sz="8" w:space="0" w:color="D4D4D4"/>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6"/>
        </w:rPr>
        <w:t>(1)</w:t>
      </w:r>
      <w:r>
        <w:rPr>
          <w:rFonts w:ascii="Arial;sans-serif" w:hAnsi="Arial;sans-serif"/>
          <w:b w:val="false"/>
          <w:i/>
          <w:color w:val="000000"/>
          <w:sz w:val="16"/>
        </w:rPr>
        <w:t>Values are calculated in accordance with ASC 718</w:t>
      </w:r>
    </w:p>
    <w:p>
      <w:pPr>
        <w:pStyle w:val="TextBody"/>
        <w:bidi w:val="0"/>
        <w:spacing w:lineRule="auto" w:line="288" w:before="0" w:after="240"/>
        <w:jc w:val="left"/>
        <w:rPr/>
      </w:pPr>
      <w:r>
        <w:rPr>
          <w:rFonts w:ascii="Arial;sans-serif" w:hAnsi="Arial;sans-serif"/>
          <w:b w:val="false"/>
          <w:i/>
          <w:color w:val="000000"/>
          <w:sz w:val="16"/>
        </w:rPr>
        <w:t>(2)</w:t>
      </w:r>
      <w:r>
        <w:rPr>
          <w:rFonts w:ascii="Arial;sans-serif" w:hAnsi="Arial;sans-serif"/>
          <w:b w:val="false"/>
          <w:i/>
          <w:color w:val="000000"/>
          <w:sz w:val="16"/>
        </w:rPr>
        <w:t>Ms. Gorcyca did not receive equity award in 2023 due to her start date.</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Outstanding Equity Awards at Fiscal 2023 Year-End</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following table presents certain information concerning equity awards that our named executive officers held as of December 31, 2023.</w:t>
      </w:r>
    </w:p>
    <w:tbl>
      <w:tblPr>
        <w:tblW w:w="10205" w:type="dxa"/>
        <w:jc w:val="left"/>
        <w:tblInd w:w="0" w:type="dxa"/>
        <w:tblLayout w:type="fixed"/>
        <w:tblCellMar>
          <w:top w:w="28" w:type="dxa"/>
          <w:left w:w="28" w:type="dxa"/>
          <w:bottom w:w="28" w:type="dxa"/>
          <w:right w:w="28" w:type="dxa"/>
        </w:tblCellMar>
      </w:tblPr>
      <w:tblGrid>
        <w:gridCol w:w="407"/>
        <w:gridCol w:w="331"/>
        <w:gridCol w:w="337"/>
        <w:gridCol w:w="386"/>
        <w:gridCol w:w="386"/>
        <w:gridCol w:w="387"/>
        <w:gridCol w:w="406"/>
        <w:gridCol w:w="406"/>
        <w:gridCol w:w="408"/>
        <w:gridCol w:w="250"/>
        <w:gridCol w:w="685"/>
        <w:gridCol w:w="150"/>
        <w:gridCol w:w="369"/>
        <w:gridCol w:w="369"/>
        <w:gridCol w:w="371"/>
        <w:gridCol w:w="324"/>
        <w:gridCol w:w="324"/>
        <w:gridCol w:w="326"/>
        <w:gridCol w:w="206"/>
        <w:gridCol w:w="874"/>
        <w:gridCol w:w="123"/>
        <w:gridCol w:w="350"/>
        <w:gridCol w:w="350"/>
        <w:gridCol w:w="352"/>
        <w:gridCol w:w="202"/>
        <w:gridCol w:w="943"/>
        <w:gridCol w:w="183"/>
      </w:tblGrid>
      <w:tr>
        <w:trPr/>
        <w:tc>
          <w:tcPr>
            <w:tcW w:w="40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75"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3" w:type="dxa"/>
            <w:gridSpan w:val="12"/>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Option Awards</w:t>
            </w:r>
          </w:p>
        </w:tc>
        <w:tc>
          <w:tcPr>
            <w:tcW w:w="4557" w:type="dxa"/>
            <w:gridSpan w:val="12"/>
            <w:tcBorders>
              <w:left w:val="single" w:sz="4" w:space="0" w:color="FFFFFF"/>
            </w:tcBorders>
            <w:shd w:fill="00205B"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Stock Awards</w:t>
            </w:r>
          </w:p>
        </w:tc>
      </w:tr>
      <w:tr>
        <w:trPr/>
        <w:tc>
          <w:tcPr>
            <w:tcW w:w="1075"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Name</w:t>
            </w:r>
          </w:p>
        </w:tc>
        <w:tc>
          <w:tcPr>
            <w:tcW w:w="1159"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Options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Unexercised and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Exercisable</w:t>
            </w:r>
          </w:p>
        </w:tc>
        <w:tc>
          <w:tcPr>
            <w:tcW w:w="1220"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Options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Unexercised and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Unexercisable</w:t>
            </w:r>
          </w:p>
        </w:tc>
        <w:tc>
          <w:tcPr>
            <w:tcW w:w="1085"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Option Exercise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Price</w:t>
            </w:r>
          </w:p>
        </w:tc>
        <w:tc>
          <w:tcPr>
            <w:tcW w:w="1109"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Option expiration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date</w:t>
            </w:r>
          </w:p>
        </w:tc>
        <w:tc>
          <w:tcPr>
            <w:tcW w:w="974" w:type="dxa"/>
            <w:gridSpan w:val="3"/>
            <w:tcBorders>
              <w:left w:val="single" w:sz="4" w:space="0" w:color="FFFFFF"/>
            </w:tcBorders>
            <w:shd w:fill="00205B" w:val="clear"/>
            <w:tcMar>
              <w:top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Number of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shares or units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of stock that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have not vested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w:t>
            </w:r>
          </w:p>
        </w:tc>
        <w:tc>
          <w:tcPr>
            <w:tcW w:w="1203" w:type="dxa"/>
            <w:gridSpan w:val="3"/>
            <w:tcBorders/>
            <w:shd w:fill="00205B" w:val="clear"/>
            <w:tcMar>
              <w:top w:w="0" w:type="dxa"/>
              <w:left w:w="0" w:type="dxa"/>
              <w:bottom w:w="0" w:type="dxa"/>
              <w:right w:w="0" w:type="dxa"/>
            </w:tcMar>
            <w:vAlign w:val="center"/>
          </w:tcPr>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Market value of </w:t>
            </w:r>
          </w:p>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shares or units </w:t>
            </w:r>
          </w:p>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of stock that </w:t>
            </w:r>
          </w:p>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have not vested </w:t>
            </w:r>
          </w:p>
          <w:p>
            <w:pPr>
              <w:pStyle w:val="TableContents"/>
              <w:bidi w:val="0"/>
              <w:spacing w:lineRule="auto" w:line="333" w:before="0" w:after="0"/>
              <w:jc w:val="center"/>
              <w:rPr/>
            </w:pPr>
            <w:r>
              <w:rPr>
                <w:rFonts w:ascii="Arial;sans-serif" w:hAnsi="Arial;sans-serif"/>
                <w:b/>
                <w:color w:val="FFFFFF"/>
                <w:sz w:val="14"/>
              </w:rPr>
              <w:t>($)</w:t>
            </w:r>
            <w:r>
              <w:rPr>
                <w:rFonts w:ascii="Arial;sans-serif" w:hAnsi="Arial;sans-serif"/>
                <w:b/>
                <w:color w:val="FFFFFF"/>
                <w:sz w:val="9"/>
              </w:rPr>
              <w:t>(1)</w:t>
            </w:r>
          </w:p>
        </w:tc>
        <w:tc>
          <w:tcPr>
            <w:tcW w:w="1052" w:type="dxa"/>
            <w:gridSpan w:val="3"/>
            <w:tcBorders/>
            <w:shd w:fill="00205B" w:val="clear"/>
            <w:tcMar>
              <w:top w:w="0" w:type="dxa"/>
              <w:left w:w="0" w:type="dxa"/>
              <w:bottom w:w="0" w:type="dxa"/>
              <w:right w:w="0" w:type="dxa"/>
            </w:tcMar>
            <w:vAlign w:val="center"/>
          </w:tcPr>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Equity Incentive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Plan Awards: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Number of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Unearned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Shares, Units or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Other Rights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 xml:space="preserve">That Have Not </w:t>
            </w:r>
          </w:p>
          <w:p>
            <w:pPr>
              <w:pStyle w:val="TableContents"/>
              <w:bidi w:val="0"/>
              <w:spacing w:lineRule="auto" w:line="333" w:before="0" w:after="0"/>
              <w:jc w:val="center"/>
              <w:rPr>
                <w:rFonts w:ascii="Arial;sans-serif" w:hAnsi="Arial;sans-serif"/>
                <w:b/>
                <w:color w:val="FFFFFF"/>
                <w:sz w:val="14"/>
              </w:rPr>
            </w:pPr>
            <w:r>
              <w:rPr>
                <w:rFonts w:ascii="Arial;sans-serif" w:hAnsi="Arial;sans-serif"/>
                <w:b/>
                <w:color w:val="FFFFFF"/>
                <w:sz w:val="14"/>
              </w:rPr>
              <w:t>Vested (#)</w:t>
            </w:r>
          </w:p>
        </w:tc>
        <w:tc>
          <w:tcPr>
            <w:tcW w:w="1328" w:type="dxa"/>
            <w:gridSpan w:val="3"/>
            <w:tcBorders/>
            <w:shd w:fill="00205B" w:val="clear"/>
            <w:tcMar>
              <w:top w:w="0" w:type="dxa"/>
              <w:left w:w="0" w:type="dxa"/>
              <w:bottom w:w="0" w:type="dxa"/>
              <w:right w:w="0" w:type="dxa"/>
            </w:tcMar>
            <w:vAlign w:val="center"/>
          </w:tcPr>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Equity Incentive </w:t>
            </w:r>
          </w:p>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Plan Awards: </w:t>
            </w:r>
          </w:p>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Market Payout </w:t>
            </w:r>
          </w:p>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Value of </w:t>
            </w:r>
          </w:p>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Unearned </w:t>
            </w:r>
          </w:p>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Shares, Units or </w:t>
            </w:r>
          </w:p>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Other Rights </w:t>
            </w:r>
          </w:p>
          <w:p>
            <w:pPr>
              <w:pStyle w:val="TableContents"/>
              <w:bidi w:val="0"/>
              <w:spacing w:lineRule="auto" w:line="333" w:before="0" w:after="2"/>
              <w:jc w:val="center"/>
              <w:rPr>
                <w:rFonts w:ascii="Arial;sans-serif" w:hAnsi="Arial;sans-serif"/>
                <w:b/>
                <w:color w:val="FFFFFF"/>
                <w:sz w:val="14"/>
              </w:rPr>
            </w:pPr>
            <w:r>
              <w:rPr>
                <w:rFonts w:ascii="Arial;sans-serif" w:hAnsi="Arial;sans-serif"/>
                <w:b/>
                <w:color w:val="FFFFFF"/>
                <w:sz w:val="14"/>
              </w:rPr>
              <w:t xml:space="preserve">That Have Not </w:t>
            </w:r>
          </w:p>
          <w:p>
            <w:pPr>
              <w:pStyle w:val="TableContents"/>
              <w:bidi w:val="0"/>
              <w:spacing w:lineRule="auto" w:line="333" w:before="0" w:after="0"/>
              <w:jc w:val="center"/>
              <w:rPr/>
            </w:pPr>
            <w:r>
              <w:rPr>
                <w:rFonts w:ascii="Arial;sans-serif" w:hAnsi="Arial;sans-serif"/>
                <w:b/>
                <w:color w:val="FFFFFF"/>
                <w:sz w:val="14"/>
              </w:rPr>
              <w:t>Vested ($)</w:t>
            </w:r>
            <w:r>
              <w:rPr>
                <w:rFonts w:ascii="Arial;sans-serif" w:hAnsi="Arial;sans-serif"/>
                <w:b/>
                <w:color w:val="FFFFFF"/>
                <w:sz w:val="9"/>
              </w:rPr>
              <w:t>(1)</w:t>
            </w:r>
          </w:p>
        </w:tc>
      </w:tr>
      <w:tr>
        <w:trPr/>
        <w:tc>
          <w:tcPr>
            <w:tcW w:w="1075"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Bradley L. Soultz</w:t>
            </w:r>
          </w:p>
        </w:tc>
        <w:tc>
          <w:tcPr>
            <w:tcW w:w="1159"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33" w:after="30"/>
              <w:jc w:val="right"/>
              <w:rPr/>
            </w:pPr>
            <w:r>
              <w:rPr>
                <w:rFonts w:ascii="Arial;sans-serif" w:hAnsi="Arial;sans-serif"/>
                <w:b w:val="false"/>
                <w:color w:val="000000"/>
                <w:sz w:val="14"/>
              </w:rPr>
              <w:t>408,497</w:t>
            </w:r>
            <w:r>
              <w:rPr>
                <w:rFonts w:ascii="Arial;sans-serif" w:hAnsi="Arial;sans-serif"/>
                <w:b w:val="false"/>
                <w:color w:val="000000"/>
                <w:sz w:val="9"/>
              </w:rPr>
              <w:t>(2)</w:t>
            </w:r>
          </w:p>
        </w:tc>
        <w:tc>
          <w:tcPr>
            <w:tcW w:w="1220" w:type="dxa"/>
            <w:gridSpan w:val="3"/>
            <w:tcBorders>
              <w:top w:val="single" w:sz="8" w:space="0" w:color="D4D4D4"/>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5" w:type="dxa"/>
            <w:tcBorders>
              <w:top w:val="single" w:sz="8" w:space="0" w:color="D4D4D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13.60 </w:t>
            </w:r>
          </w:p>
        </w:tc>
        <w:tc>
          <w:tcPr>
            <w:tcW w:w="150" w:type="dxa"/>
            <w:tcBorders>
              <w:top w:val="single" w:sz="8" w:space="0" w:color="D4D4D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March 20, 2028</w:t>
            </w:r>
          </w:p>
        </w:tc>
        <w:tc>
          <w:tcPr>
            <w:tcW w:w="974"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108,594</w:t>
            </w:r>
          </w:p>
        </w:tc>
        <w:tc>
          <w:tcPr>
            <w:tcW w:w="206" w:type="dxa"/>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74" w:type="dxa"/>
            <w:tcBorders>
              <w:top w:val="single" w:sz="8" w:space="0" w:color="D4D4D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4,832,433 </w:t>
            </w:r>
          </w:p>
        </w:tc>
        <w:tc>
          <w:tcPr>
            <w:tcW w:w="123" w:type="dxa"/>
            <w:tcBorders>
              <w:top w:val="single" w:sz="8" w:space="0" w:color="D4D4D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564,450</w:t>
            </w:r>
          </w:p>
        </w:tc>
        <w:tc>
          <w:tcPr>
            <w:tcW w:w="202" w:type="dxa"/>
            <w:tcBorders>
              <w:top w:val="single" w:sz="8" w:space="0" w:color="D4D4D4"/>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43" w:type="dxa"/>
            <w:tcBorders>
              <w:top w:val="single" w:sz="8" w:space="0" w:color="D4D4D4"/>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25,118,025 </w:t>
            </w:r>
          </w:p>
        </w:tc>
        <w:tc>
          <w:tcPr>
            <w:tcW w:w="183" w:type="dxa"/>
            <w:tcBorders>
              <w:top w:val="single" w:sz="8" w:space="0" w:color="D4D4D4"/>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Timothy D. Boswell</w:t>
            </w:r>
          </w:p>
        </w:tc>
        <w:tc>
          <w:tcPr>
            <w:tcW w:w="115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33" w:after="30"/>
              <w:jc w:val="right"/>
              <w:rPr/>
            </w:pPr>
            <w:r>
              <w:rPr>
                <w:rFonts w:ascii="Arial;sans-serif" w:hAnsi="Arial;sans-serif"/>
                <w:b w:val="false"/>
                <w:color w:val="000000"/>
                <w:sz w:val="14"/>
              </w:rPr>
              <w:t>125,691</w:t>
            </w:r>
            <w:r>
              <w:rPr>
                <w:rFonts w:ascii="Arial;sans-serif" w:hAnsi="Arial;sans-serif"/>
                <w:b w:val="false"/>
                <w:color w:val="000000"/>
                <w:sz w:val="9"/>
              </w:rPr>
              <w:t>(2)</w:t>
            </w:r>
          </w:p>
        </w:tc>
        <w:tc>
          <w:tcPr>
            <w:tcW w:w="1220"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5"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13.60 </w:t>
            </w:r>
          </w:p>
        </w:tc>
        <w:tc>
          <w:tcPr>
            <w:tcW w:w="150"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March 20, 2028</w:t>
            </w:r>
          </w:p>
        </w:tc>
        <w:tc>
          <w:tcPr>
            <w:tcW w:w="974"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44,218</w:t>
            </w:r>
          </w:p>
        </w:tc>
        <w:tc>
          <w:tcPr>
            <w:tcW w:w="206"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74"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1,967,701 </w:t>
            </w:r>
          </w:p>
        </w:tc>
        <w:tc>
          <w:tcPr>
            <w:tcW w:w="123"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334,335</w:t>
            </w:r>
          </w:p>
        </w:tc>
        <w:tc>
          <w:tcPr>
            <w:tcW w:w="202"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43"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14,877,908 </w:t>
            </w:r>
          </w:p>
        </w:tc>
        <w:tc>
          <w:tcPr>
            <w:tcW w:w="183"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Hezron T. Lopez</w:t>
            </w:r>
          </w:p>
        </w:tc>
        <w:tc>
          <w:tcPr>
            <w:tcW w:w="115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1220"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110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974"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20,895</w:t>
            </w:r>
          </w:p>
        </w:tc>
        <w:tc>
          <w:tcPr>
            <w:tcW w:w="206"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74"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929,828 </w:t>
            </w:r>
          </w:p>
        </w:tc>
        <w:tc>
          <w:tcPr>
            <w:tcW w:w="123"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83,048</w:t>
            </w:r>
          </w:p>
        </w:tc>
        <w:tc>
          <w:tcPr>
            <w:tcW w:w="202"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43"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3,695,636 </w:t>
            </w:r>
          </w:p>
        </w:tc>
        <w:tc>
          <w:tcPr>
            <w:tcW w:w="183"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Felicia K. Gorcyca</w:t>
            </w:r>
          </w:p>
        </w:tc>
        <w:tc>
          <w:tcPr>
            <w:tcW w:w="115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1220"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110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974"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1203"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1052"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1328"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r>
      <w:tr>
        <w:trPr/>
        <w:tc>
          <w:tcPr>
            <w:tcW w:w="1075"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Graeme Parkes</w:t>
            </w:r>
          </w:p>
        </w:tc>
        <w:tc>
          <w:tcPr>
            <w:tcW w:w="115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1,301</w:t>
            </w:r>
          </w:p>
        </w:tc>
        <w:tc>
          <w:tcPr>
            <w:tcW w:w="1220"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5"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19.70 </w:t>
            </w:r>
          </w:p>
        </w:tc>
        <w:tc>
          <w:tcPr>
            <w:tcW w:w="150"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October 27, 2024</w:t>
            </w:r>
          </w:p>
        </w:tc>
        <w:tc>
          <w:tcPr>
            <w:tcW w:w="974"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16,698</w:t>
            </w:r>
          </w:p>
        </w:tc>
        <w:tc>
          <w:tcPr>
            <w:tcW w:w="206"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74"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743,061 </w:t>
            </w:r>
          </w:p>
        </w:tc>
        <w:tc>
          <w:tcPr>
            <w:tcW w:w="123"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70,224</w:t>
            </w:r>
          </w:p>
        </w:tc>
        <w:tc>
          <w:tcPr>
            <w:tcW w:w="202"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43"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3,124,968 </w:t>
            </w:r>
          </w:p>
        </w:tc>
        <w:tc>
          <w:tcPr>
            <w:tcW w:w="183"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6,070</w:t>
            </w:r>
          </w:p>
        </w:tc>
        <w:tc>
          <w:tcPr>
            <w:tcW w:w="1220"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5"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17.79 </w:t>
            </w:r>
          </w:p>
        </w:tc>
        <w:tc>
          <w:tcPr>
            <w:tcW w:w="150"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January 22, 2025</w:t>
            </w:r>
          </w:p>
        </w:tc>
        <w:tc>
          <w:tcPr>
            <w:tcW w:w="974"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12,859</w:t>
            </w:r>
          </w:p>
        </w:tc>
        <w:tc>
          <w:tcPr>
            <w:tcW w:w="1220"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5"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10.91 </w:t>
            </w:r>
          </w:p>
        </w:tc>
        <w:tc>
          <w:tcPr>
            <w:tcW w:w="150"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January 20, 2026</w:t>
            </w:r>
          </w:p>
        </w:tc>
        <w:tc>
          <w:tcPr>
            <w:tcW w:w="974"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24,092</w:t>
            </w:r>
          </w:p>
        </w:tc>
        <w:tc>
          <w:tcPr>
            <w:tcW w:w="1220"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5"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13.54 </w:t>
            </w:r>
          </w:p>
        </w:tc>
        <w:tc>
          <w:tcPr>
            <w:tcW w:w="150"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February 1, 2027</w:t>
            </w:r>
          </w:p>
        </w:tc>
        <w:tc>
          <w:tcPr>
            <w:tcW w:w="974"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20,981</w:t>
            </w:r>
          </w:p>
        </w:tc>
        <w:tc>
          <w:tcPr>
            <w:tcW w:w="1220"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5"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12.19 </w:t>
            </w:r>
          </w:p>
        </w:tc>
        <w:tc>
          <w:tcPr>
            <w:tcW w:w="150"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July 19, 2027</w:t>
            </w:r>
          </w:p>
        </w:tc>
        <w:tc>
          <w:tcPr>
            <w:tcW w:w="974"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9,739</w:t>
            </w:r>
          </w:p>
        </w:tc>
        <w:tc>
          <w:tcPr>
            <w:tcW w:w="1220"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5" w:type="dxa"/>
            <w:tcBorders>
              <w:top w:val="single" w:sz="4" w:space="0" w:color="1D2758"/>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13.54 </w:t>
            </w:r>
          </w:p>
        </w:tc>
        <w:tc>
          <w:tcPr>
            <w:tcW w:w="150" w:type="dxa"/>
            <w:tcBorders>
              <w:top w:val="single" w:sz="4" w:space="0" w:color="1D27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January 28. 2030</w:t>
            </w:r>
          </w:p>
        </w:tc>
        <w:tc>
          <w:tcPr>
            <w:tcW w:w="974"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1D2758"/>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top w:val="single" w:sz="4" w:space="0" w:color="1D2758"/>
              <w:left w:val="single" w:sz="8" w:space="0" w:color="D4D4D4"/>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Sally J. Shanks</w:t>
            </w:r>
          </w:p>
        </w:tc>
        <w:tc>
          <w:tcPr>
            <w:tcW w:w="1159"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1220" w:type="dxa"/>
            <w:gridSpan w:val="3"/>
            <w:tcBorders>
              <w:top w:val="single" w:sz="4" w:space="0" w:color="1D2758"/>
              <w:left w:val="single" w:sz="8" w:space="0" w:color="D4D4D4"/>
              <w:bottom w:val="single" w:sz="4" w:space="0" w:color="1D2758"/>
            </w:tcBorders>
            <w:tcMar>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1109"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N/A</w:t>
            </w:r>
          </w:p>
        </w:tc>
        <w:tc>
          <w:tcPr>
            <w:tcW w:w="974"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9,124</w:t>
            </w:r>
          </w:p>
        </w:tc>
        <w:tc>
          <w:tcPr>
            <w:tcW w:w="206" w:type="dxa"/>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74" w:type="dxa"/>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406,018 </w:t>
            </w:r>
          </w:p>
        </w:tc>
        <w:tc>
          <w:tcPr>
            <w:tcW w:w="123" w:type="dxa"/>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37,677</w:t>
            </w:r>
          </w:p>
        </w:tc>
        <w:tc>
          <w:tcPr>
            <w:tcW w:w="202" w:type="dxa"/>
            <w:tcBorders>
              <w:top w:val="single" w:sz="4" w:space="0" w:color="1D2758"/>
              <w:left w:val="single" w:sz="8" w:space="0" w:color="D4D4D4"/>
              <w:bottom w:val="single" w:sz="4" w:space="0" w:color="1D2758"/>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943" w:type="dxa"/>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1,676,627 </w:t>
            </w:r>
          </w:p>
        </w:tc>
        <w:tc>
          <w:tcPr>
            <w:tcW w:w="183" w:type="dxa"/>
            <w:tcBorders>
              <w:top w:val="single" w:sz="4" w:space="0" w:color="1D2758"/>
              <w:bottom w:val="single" w:sz="4" w:space="0" w:color="1D27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4" w:space="0" w:color="1D2758"/>
            </w:tcBorders>
            <w:tcMar>
              <w:top w:w="30" w:type="dxa"/>
              <w:left w:w="0" w:type="dxa"/>
              <w:bottom w:w="0" w:type="dxa"/>
              <w:right w:w="0" w:type="dxa"/>
            </w:tcMar>
            <w:vAlign w:val="center"/>
          </w:tcPr>
          <w:p>
            <w:pPr>
              <w:pStyle w:val="TableContents"/>
              <w:bidi w:val="0"/>
              <w:spacing w:lineRule="auto" w:line="288" w:before="53" w:after="283"/>
              <w:jc w:val="both"/>
              <w:rPr>
                <w:rFonts w:ascii="Arial;sans-serif" w:hAnsi="Arial;sans-serif"/>
                <w:b w:val="false"/>
                <w:i/>
                <w:color w:val="000000"/>
                <w:sz w:val="14"/>
              </w:rPr>
            </w:pPr>
            <w:r>
              <w:rPr>
                <w:rFonts w:ascii="Arial;sans-serif" w:hAnsi="Arial;sans-serif"/>
                <w:b w:val="false"/>
                <w:i/>
                <w:color w:val="000000"/>
                <w:sz w:val="14"/>
              </w:rPr>
              <w:t>(1) Market value was calculated based upon the closing price of the shares of Common Stock on Nasdaq of $44.50 on December 29, 2023, the last trading day of the Company’s last completed fiscal year.</w:t>
            </w:r>
          </w:p>
          <w:p>
            <w:pPr>
              <w:pStyle w:val="TableContents"/>
              <w:bidi w:val="0"/>
              <w:spacing w:lineRule="auto" w:line="288" w:before="0" w:after="30"/>
              <w:jc w:val="both"/>
              <w:rPr>
                <w:rFonts w:ascii="Arial;sans-serif" w:hAnsi="Arial;sans-serif"/>
                <w:b w:val="false"/>
                <w:i/>
                <w:color w:val="000000"/>
                <w:sz w:val="14"/>
              </w:rPr>
            </w:pPr>
            <w:r>
              <w:rPr>
                <w:rFonts w:ascii="Arial;sans-serif" w:hAnsi="Arial;sans-serif"/>
                <w:b w:val="false"/>
                <w:i/>
                <w:color w:val="000000"/>
                <w:sz w:val="14"/>
              </w:rPr>
              <w:t xml:space="preserve">(2) Consists of stock options awarded on March 20, 2018. Each stock option represents the right upon vesting to buy one share of Common Stock.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6840"/>
                <wp:effectExtent l="0" t="0" r="0" b="0"/>
                <wp:wrapNone/>
                <wp:docPr id="148" name="Frame1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left"/>
        <w:rPr>
          <w:rFonts w:ascii="Arial;sans-serif" w:hAnsi="Arial;sans-serif"/>
          <w:b/>
          <w:i/>
          <w:color w:val="1D2758"/>
          <w:sz w:val="18"/>
        </w:rPr>
      </w:pPr>
      <w:r>
        <w:rPr>
          <w:rFonts w:ascii="Arial;sans-serif" w:hAnsi="Arial;sans-serif"/>
          <w:b/>
          <w:i/>
          <w:color w:val="1D2758"/>
          <w:sz w:val="18"/>
        </w:rPr>
        <w:t>Option Exercises and Stock Vested in Fiscal Year 2023</w:t>
      </w:r>
    </w:p>
    <w:tbl>
      <w:tblPr>
        <w:tblW w:w="10205" w:type="dxa"/>
        <w:jc w:val="left"/>
        <w:tblInd w:w="0" w:type="dxa"/>
        <w:tblLayout w:type="fixed"/>
        <w:tblCellMar>
          <w:top w:w="28" w:type="dxa"/>
          <w:left w:w="28" w:type="dxa"/>
          <w:bottom w:w="28" w:type="dxa"/>
          <w:right w:w="28" w:type="dxa"/>
        </w:tblCellMar>
      </w:tblPr>
      <w:tblGrid>
        <w:gridCol w:w="517"/>
        <w:gridCol w:w="444"/>
        <w:gridCol w:w="448"/>
        <w:gridCol w:w="696"/>
        <w:gridCol w:w="696"/>
        <w:gridCol w:w="698"/>
        <w:gridCol w:w="586"/>
        <w:gridCol w:w="1304"/>
        <w:gridCol w:w="348"/>
        <w:gridCol w:w="696"/>
        <w:gridCol w:w="696"/>
        <w:gridCol w:w="698"/>
        <w:gridCol w:w="364"/>
        <w:gridCol w:w="1696"/>
        <w:gridCol w:w="318"/>
      </w:tblGrid>
      <w:tr>
        <w:trPr/>
        <w:tc>
          <w:tcPr>
            <w:tcW w:w="51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8" w:type="dxa"/>
            <w:gridSpan w:val="6"/>
            <w:tcBorders/>
            <w:shd w:fill="00205B"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Option Awards</w:t>
            </w:r>
          </w:p>
        </w:tc>
        <w:tc>
          <w:tcPr>
            <w:tcW w:w="4468" w:type="dxa"/>
            <w:gridSpan w:val="6"/>
            <w:tcBorders/>
            <w:shd w:fill="00205B"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Stock Awards</w:t>
            </w:r>
          </w:p>
        </w:tc>
      </w:tr>
      <w:tr>
        <w:trPr/>
        <w:tc>
          <w:tcPr>
            <w:tcW w:w="140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Name</w:t>
            </w:r>
          </w:p>
        </w:tc>
        <w:tc>
          <w:tcPr>
            <w:tcW w:w="2090" w:type="dxa"/>
            <w:gridSpan w:val="3"/>
            <w:tcBorders/>
            <w:shd w:fill="00205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Shares Acquired</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on Exercise (#)</w:t>
            </w:r>
          </w:p>
        </w:tc>
        <w:tc>
          <w:tcPr>
            <w:tcW w:w="2238" w:type="dxa"/>
            <w:gridSpan w:val="3"/>
            <w:tcBorders/>
            <w:shd w:fill="00205B"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FFFF"/>
                <w:sz w:val="16"/>
              </w:rPr>
            </w:pPr>
            <w:r>
              <w:rPr>
                <w:rFonts w:ascii="Arial;sans-serif" w:hAnsi="Arial;sans-serif"/>
                <w:b/>
                <w:color w:val="FFFFFF"/>
                <w:sz w:val="16"/>
              </w:rPr>
              <w:t>Value Realized on Exercise ($)</w:t>
            </w:r>
          </w:p>
        </w:tc>
        <w:tc>
          <w:tcPr>
            <w:tcW w:w="2090" w:type="dxa"/>
            <w:gridSpan w:val="3"/>
            <w:tcBorders/>
            <w:shd w:fill="00205B"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Shares Acquired</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on Vesting (#)</w:t>
            </w:r>
          </w:p>
        </w:tc>
        <w:tc>
          <w:tcPr>
            <w:tcW w:w="2378" w:type="dxa"/>
            <w:gridSpan w:val="3"/>
            <w:tcBorders/>
            <w:shd w:fill="00205B" w:val="clear"/>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FFFFFF"/>
                <w:sz w:val="16"/>
              </w:rPr>
              <w:t>Value Realized on Vesting ($)</w:t>
            </w:r>
            <w:r>
              <w:rPr>
                <w:rFonts w:ascii="Arial;sans-serif" w:hAnsi="Arial;sans-serif"/>
                <w:b/>
                <w:color w:val="FFFFFF"/>
                <w:sz w:val="9"/>
              </w:rPr>
              <w:t>(1)</w:t>
            </w:r>
          </w:p>
        </w:tc>
      </w:tr>
      <w:tr>
        <w:trPr/>
        <w:tc>
          <w:tcPr>
            <w:tcW w:w="1409"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8"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00205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Bradley L. Soultz</w:t>
            </w:r>
          </w:p>
        </w:tc>
        <w:tc>
          <w:tcPr>
            <w:tcW w:w="2090" w:type="dxa"/>
            <w:gridSpan w:val="3"/>
            <w:tcBorders/>
            <w:tcMar>
              <w:top w:w="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586"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w:t>
            </w:r>
          </w:p>
        </w:tc>
        <w:tc>
          <w:tcPr>
            <w:tcW w:w="1304"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Arial;sans-serif" w:hAnsi="Arial;sans-serif"/>
                <w:b w:val="false"/>
                <w:color w:val="000000"/>
                <w:sz w:val="14"/>
              </w:rPr>
            </w:pPr>
            <w:r>
              <w:rPr>
                <w:rFonts w:ascii="Arial;sans-serif" w:hAnsi="Arial;sans-serif"/>
                <w:b w:val="false"/>
                <w:color w:val="000000"/>
                <w:sz w:val="14"/>
              </w:rPr>
              <w:t>276,545</w:t>
            </w:r>
          </w:p>
        </w:tc>
        <w:tc>
          <w:tcPr>
            <w:tcW w:w="364" w:type="dxa"/>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w:t>
            </w:r>
          </w:p>
        </w:tc>
        <w:tc>
          <w:tcPr>
            <w:tcW w:w="1696" w:type="dxa"/>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4"/>
              </w:rPr>
            </w:pPr>
            <w:r>
              <w:rPr>
                <w:rFonts w:ascii="Arial;sans-serif" w:hAnsi="Arial;sans-serif"/>
                <w:b w:val="false"/>
                <w:color w:val="000000"/>
                <w:sz w:val="14"/>
              </w:rPr>
              <w:t>13,966,700 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Timothy D. Boswell</w:t>
            </w:r>
          </w:p>
        </w:tc>
        <w:tc>
          <w:tcPr>
            <w:tcW w:w="2090"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586"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w:t>
            </w:r>
          </w:p>
        </w:tc>
        <w:tc>
          <w:tcPr>
            <w:tcW w:w="1304"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8"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right"/>
              <w:rPr>
                <w:rFonts w:ascii="Arial;sans-serif" w:hAnsi="Arial;sans-serif"/>
                <w:b w:val="false"/>
                <w:color w:val="000000"/>
                <w:sz w:val="14"/>
              </w:rPr>
            </w:pPr>
            <w:r>
              <w:rPr>
                <w:rFonts w:ascii="Arial;sans-serif" w:hAnsi="Arial;sans-serif"/>
                <w:b w:val="false"/>
                <w:color w:val="000000"/>
                <w:sz w:val="14"/>
              </w:rPr>
              <w:t>136,331</w:t>
            </w:r>
          </w:p>
        </w:tc>
        <w:tc>
          <w:tcPr>
            <w:tcW w:w="364"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w:t>
            </w:r>
          </w:p>
        </w:tc>
        <w:tc>
          <w:tcPr>
            <w:tcW w:w="1696"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4"/>
              </w:rPr>
            </w:pPr>
            <w:r>
              <w:rPr>
                <w:rFonts w:ascii="Arial;sans-serif" w:hAnsi="Arial;sans-serif"/>
                <w:b w:val="false"/>
                <w:color w:val="000000"/>
                <w:sz w:val="14"/>
              </w:rPr>
              <w:t>6,772,410 </w:t>
            </w:r>
          </w:p>
        </w:tc>
        <w:tc>
          <w:tcPr>
            <w:tcW w:w="318"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Hezron T. Lopez</w:t>
            </w:r>
          </w:p>
        </w:tc>
        <w:tc>
          <w:tcPr>
            <w:tcW w:w="2090"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586"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w:t>
            </w:r>
          </w:p>
        </w:tc>
        <w:tc>
          <w:tcPr>
            <w:tcW w:w="1304"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8"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right"/>
              <w:rPr>
                <w:rFonts w:ascii="Arial;sans-serif" w:hAnsi="Arial;sans-serif"/>
                <w:b w:val="false"/>
                <w:color w:val="000000"/>
                <w:sz w:val="14"/>
              </w:rPr>
            </w:pPr>
            <w:r>
              <w:rPr>
                <w:rFonts w:ascii="Arial;sans-serif" w:hAnsi="Arial;sans-serif"/>
                <w:b w:val="false"/>
                <w:color w:val="000000"/>
                <w:sz w:val="14"/>
              </w:rPr>
              <w:t>50,766</w:t>
            </w:r>
          </w:p>
        </w:tc>
        <w:tc>
          <w:tcPr>
            <w:tcW w:w="364"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w:t>
            </w:r>
          </w:p>
        </w:tc>
        <w:tc>
          <w:tcPr>
            <w:tcW w:w="1696"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4"/>
              </w:rPr>
            </w:pPr>
            <w:r>
              <w:rPr>
                <w:rFonts w:ascii="Arial;sans-serif" w:hAnsi="Arial;sans-serif"/>
                <w:b w:val="false"/>
                <w:color w:val="000000"/>
                <w:sz w:val="14"/>
              </w:rPr>
              <w:t>2,601,218 </w:t>
            </w:r>
          </w:p>
        </w:tc>
        <w:tc>
          <w:tcPr>
            <w:tcW w:w="318"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Felicia K. Gorcyca</w:t>
            </w:r>
          </w:p>
        </w:tc>
        <w:tc>
          <w:tcPr>
            <w:tcW w:w="2090"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N/A</w:t>
            </w:r>
          </w:p>
        </w:tc>
        <w:tc>
          <w:tcPr>
            <w:tcW w:w="2238"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N/A</w:t>
            </w:r>
          </w:p>
        </w:tc>
        <w:tc>
          <w:tcPr>
            <w:tcW w:w="2090"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4"/>
              </w:rPr>
            </w:pPr>
            <w:r>
              <w:rPr>
                <w:rFonts w:ascii="Arial;sans-serif" w:hAnsi="Arial;sans-serif"/>
                <w:b w:val="false"/>
                <w:color w:val="000000"/>
                <w:sz w:val="14"/>
              </w:rPr>
              <w:t>N/A</w:t>
            </w:r>
          </w:p>
        </w:tc>
        <w:tc>
          <w:tcPr>
            <w:tcW w:w="2378"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N/A</w:t>
            </w:r>
          </w:p>
        </w:tc>
      </w:tr>
      <w:tr>
        <w:trPr/>
        <w:tc>
          <w:tcPr>
            <w:tcW w:w="1409"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Graeme Parkes</w:t>
            </w:r>
          </w:p>
        </w:tc>
        <w:tc>
          <w:tcPr>
            <w:tcW w:w="2090"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right"/>
              <w:rPr>
                <w:color w:val="000000"/>
              </w:rPr>
            </w:pPr>
            <w:r>
              <w:rPr>
                <w:color w:val="000000"/>
              </w:rPr>
              <w:t>—</w:t>
            </w:r>
          </w:p>
        </w:tc>
        <w:tc>
          <w:tcPr>
            <w:tcW w:w="586"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w:t>
            </w:r>
          </w:p>
        </w:tc>
        <w:tc>
          <w:tcPr>
            <w:tcW w:w="1304"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348"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205B"/>
            </w:tcBorders>
            <w:tcMar>
              <w:top w:w="30" w:type="dxa"/>
              <w:left w:w="0" w:type="dxa"/>
              <w:bottom w:w="0" w:type="dxa"/>
              <w:right w:w="0" w:type="dxa"/>
            </w:tcMar>
            <w:vAlign w:val="center"/>
          </w:tcPr>
          <w:p>
            <w:pPr>
              <w:pStyle w:val="TableContents"/>
              <w:bidi w:val="0"/>
              <w:spacing w:lineRule="auto" w:line="268" w:before="0" w:after="0"/>
              <w:jc w:val="right"/>
              <w:rPr>
                <w:rFonts w:ascii="Arial;sans-serif" w:hAnsi="Arial;sans-serif"/>
                <w:b w:val="false"/>
                <w:color w:val="000000"/>
                <w:sz w:val="14"/>
              </w:rPr>
            </w:pPr>
            <w:r>
              <w:rPr>
                <w:rFonts w:ascii="Arial;sans-serif" w:hAnsi="Arial;sans-serif"/>
                <w:b w:val="false"/>
                <w:color w:val="000000"/>
                <w:sz w:val="14"/>
              </w:rPr>
              <w:t>6,268</w:t>
            </w:r>
          </w:p>
        </w:tc>
        <w:tc>
          <w:tcPr>
            <w:tcW w:w="364"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w:t>
            </w:r>
          </w:p>
        </w:tc>
        <w:tc>
          <w:tcPr>
            <w:tcW w:w="1696" w:type="dxa"/>
            <w:tcBorders>
              <w:top w:val="single" w:sz="8" w:space="0" w:color="00205B"/>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14"/>
              </w:rPr>
            </w:pPr>
            <w:r>
              <w:rPr>
                <w:rFonts w:ascii="Arial;sans-serif" w:hAnsi="Arial;sans-serif"/>
                <w:b w:val="false"/>
                <w:color w:val="000000"/>
                <w:sz w:val="14"/>
              </w:rPr>
              <w:t>315,532 </w:t>
            </w:r>
          </w:p>
        </w:tc>
        <w:tc>
          <w:tcPr>
            <w:tcW w:w="318" w:type="dxa"/>
            <w:tcBorders>
              <w:top w:val="single" w:sz="8" w:space="0" w:color="00205B"/>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Sally J. Shanks</w:t>
            </w:r>
          </w:p>
        </w:tc>
        <w:tc>
          <w:tcPr>
            <w:tcW w:w="2090"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68" w:before="0" w:after="0"/>
              <w:jc w:val="right"/>
              <w:rPr>
                <w:color w:val="000000"/>
              </w:rPr>
            </w:pPr>
            <w:r>
              <w:rPr>
                <w:color w:val="000000"/>
              </w:rPr>
              <w:t>—</w:t>
            </w:r>
          </w:p>
        </w:tc>
        <w:tc>
          <w:tcPr>
            <w:tcW w:w="586"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w:t>
            </w:r>
          </w:p>
        </w:tc>
        <w:tc>
          <w:tcPr>
            <w:tcW w:w="1304"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68" w:before="0" w:after="283"/>
              <w:jc w:val="right"/>
              <w:rPr>
                <w:color w:val="000000"/>
              </w:rPr>
            </w:pPr>
            <w:r>
              <w:rPr>
                <w:color w:val="000000"/>
              </w:rPr>
              <w:t>— </w:t>
            </w:r>
          </w:p>
        </w:tc>
        <w:tc>
          <w:tcPr>
            <w:tcW w:w="348"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0" w:type="dxa"/>
            <w:gridSpan w:val="3"/>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68" w:before="0" w:after="0"/>
              <w:jc w:val="right"/>
              <w:rPr>
                <w:rFonts w:ascii="Arial;sans-serif" w:hAnsi="Arial;sans-serif"/>
                <w:b w:val="false"/>
                <w:color w:val="000000"/>
                <w:sz w:val="14"/>
              </w:rPr>
            </w:pPr>
            <w:r>
              <w:rPr>
                <w:rFonts w:ascii="Arial;sans-serif" w:hAnsi="Arial;sans-serif"/>
                <w:b w:val="false"/>
                <w:color w:val="000000"/>
                <w:sz w:val="14"/>
              </w:rPr>
              <w:t>12,865</w:t>
            </w:r>
          </w:p>
        </w:tc>
        <w:tc>
          <w:tcPr>
            <w:tcW w:w="364"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w:t>
            </w:r>
          </w:p>
        </w:tc>
        <w:tc>
          <w:tcPr>
            <w:tcW w:w="1696"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4"/>
              </w:rPr>
            </w:pPr>
            <w:r>
              <w:rPr>
                <w:rFonts w:ascii="Arial;sans-serif" w:hAnsi="Arial;sans-serif"/>
                <w:b w:val="false"/>
                <w:color w:val="000000"/>
                <w:sz w:val="14"/>
              </w:rPr>
              <w:t>661,522 </w:t>
            </w:r>
          </w:p>
        </w:tc>
        <w:tc>
          <w:tcPr>
            <w:tcW w:w="318" w:type="dxa"/>
            <w:tcBorders>
              <w:top w:val="single" w:sz="8" w:space="0" w:color="00205B"/>
              <w:bottom w:val="single" w:sz="8"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pPr>
      <w:r>
        <w:rPr>
          <w:rFonts w:ascii="Arial;sans-serif" w:hAnsi="Arial;sans-serif"/>
          <w:b w:val="false"/>
          <w:i/>
          <w:color w:val="000000"/>
          <w:sz w:val="16"/>
        </w:rPr>
        <w:t>(1)</w:t>
      </w:r>
      <w:r>
        <w:rPr>
          <w:color w:val="000000"/>
        </w:rPr>
        <w:t xml:space="preserve"> </w:t>
      </w:r>
      <w:r>
        <w:rPr>
          <w:rFonts w:ascii="Arial;sans-serif" w:hAnsi="Arial;sans-serif"/>
          <w:b w:val="false"/>
          <w:i/>
          <w:color w:val="000000"/>
          <w:sz w:val="16"/>
        </w:rPr>
        <w:t>Value</w:t>
      </w:r>
      <w:r>
        <w:rPr>
          <w:color w:val="000000"/>
        </w:rPr>
        <w:t xml:space="preserve"> </w:t>
      </w:r>
      <w:r>
        <w:rPr>
          <w:rFonts w:ascii="Arial;sans-serif" w:hAnsi="Arial;sans-serif"/>
          <w:b w:val="false"/>
          <w:i/>
          <w:color w:val="000000"/>
          <w:sz w:val="16"/>
        </w:rPr>
        <w:t>for shares acquired on vesting are pre-tax value.</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Potential Payments Upon Termination or Change in Control</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following table discloses potential payments and benefits under our compensation benefit plans and agreements with the named executive officers in each situation in the table below assuming that the termination of employment or change in control of our Company occurred on December 31, 2023, the last business day of our fiscal year, and that our Common Stock was valued at the closing market price as of December 29, 2023 of $44.5. The prorated bonus payout assumes full year exit maximum at December 31 of the year. The actual amount of payments and benefits can only be determined at the time of such a termination or change in control, and therefore the actual amounts would vary from the estimated amounts in the tables below. In addition, the amount of payments and benefits that named executive officers would actually receive may be materially less than the estimated amounts in the tables below because all such amounts in the tables below are on a pre-tax basis.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Descriptions of the circumstances that would trigger payments or benefits to the named executive officer, how such payments and benefits are determined under the circumstances, material conditions and obligations applicable to the receipt of payments or benefits and other material factors regarding such plans and agreements, as well as other material assumptions we have made in calculating the estimated compensation, follow these tables.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6840"/>
                <wp:effectExtent l="0" t="0" r="0" b="0"/>
                <wp:wrapNone/>
                <wp:docPr id="149" name="Frame1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129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Employment Agreement Provisions Relating to Termination of Employment or Change in Control</w:t>
      </w:r>
    </w:p>
    <w:tbl>
      <w:tblPr>
        <w:tblW w:w="10205" w:type="dxa"/>
        <w:jc w:val="center"/>
        <w:tblInd w:w="0" w:type="dxa"/>
        <w:tblLayout w:type="fixed"/>
        <w:tblCellMar>
          <w:top w:w="28" w:type="dxa"/>
          <w:left w:w="28" w:type="dxa"/>
          <w:bottom w:w="28" w:type="dxa"/>
          <w:right w:w="28" w:type="dxa"/>
        </w:tblCellMar>
      </w:tblPr>
      <w:tblGrid>
        <w:gridCol w:w="777"/>
        <w:gridCol w:w="604"/>
        <w:gridCol w:w="616"/>
        <w:gridCol w:w="273"/>
        <w:gridCol w:w="1340"/>
        <w:gridCol w:w="151"/>
        <w:gridCol w:w="299"/>
        <w:gridCol w:w="1468"/>
        <w:gridCol w:w="166"/>
        <w:gridCol w:w="345"/>
        <w:gridCol w:w="1694"/>
        <w:gridCol w:w="191"/>
        <w:gridCol w:w="340"/>
        <w:gridCol w:w="1668"/>
        <w:gridCol w:w="273"/>
      </w:tblGrid>
      <w:tr>
        <w:trPr/>
        <w:tc>
          <w:tcPr>
            <w:tcW w:w="77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997"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Name</w:t>
            </w:r>
          </w:p>
        </w:tc>
        <w:tc>
          <w:tcPr>
            <w:tcW w:w="1764"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Termination by Death ($)</w:t>
            </w:r>
          </w:p>
        </w:tc>
        <w:tc>
          <w:tcPr>
            <w:tcW w:w="1933" w:type="dxa"/>
            <w:gridSpan w:val="3"/>
            <w:tcBorders/>
            <w:shd w:fill="00205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Termination by Disability ($)</w:t>
            </w:r>
          </w:p>
        </w:tc>
        <w:tc>
          <w:tcPr>
            <w:tcW w:w="2230" w:type="dxa"/>
            <w:gridSpan w:val="3"/>
            <w:tcBorders/>
            <w:shd w:fill="00205B" w:val="clear"/>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FFFFFF"/>
                <w:sz w:val="16"/>
              </w:rPr>
            </w:pPr>
            <w:r>
              <w:rPr>
                <w:rFonts w:ascii="Arial;sans-serif" w:hAnsi="Arial;sans-serif"/>
                <w:b/>
                <w:color w:val="FFFFFF"/>
                <w:sz w:val="16"/>
              </w:rPr>
              <w:t xml:space="preserve">Termination by Company without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Cause or by Executive for Good </w:t>
            </w:r>
          </w:p>
          <w:p>
            <w:pPr>
              <w:pStyle w:val="TableContents"/>
              <w:bidi w:val="0"/>
              <w:spacing w:lineRule="auto" w:line="333" w:before="0" w:after="30"/>
              <w:jc w:val="center"/>
              <w:rPr>
                <w:rFonts w:ascii="Arial;sans-serif" w:hAnsi="Arial;sans-serif"/>
                <w:b/>
                <w:color w:val="FFFFFF"/>
                <w:sz w:val="16"/>
              </w:rPr>
            </w:pPr>
            <w:r>
              <w:rPr>
                <w:rFonts w:ascii="Arial;sans-serif" w:hAnsi="Arial;sans-serif"/>
                <w:b/>
                <w:color w:val="FFFFFF"/>
                <w:sz w:val="16"/>
              </w:rPr>
              <w:t>Reason ($)</w:t>
            </w:r>
          </w:p>
        </w:tc>
        <w:tc>
          <w:tcPr>
            <w:tcW w:w="2281" w:type="dxa"/>
            <w:gridSpan w:val="3"/>
            <w:tcBorders/>
            <w:shd w:fill="00205B" w:val="clear"/>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FFFFFF"/>
                <w:sz w:val="16"/>
              </w:rPr>
            </w:pPr>
            <w:r>
              <w:rPr>
                <w:rFonts w:ascii="Arial;sans-serif" w:hAnsi="Arial;sans-serif"/>
                <w:b/>
                <w:color w:val="FFFFFF"/>
                <w:sz w:val="16"/>
              </w:rPr>
              <w:t xml:space="preserve">Change in Control and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Termination by Company without </w:t>
            </w:r>
          </w:p>
          <w:p>
            <w:pPr>
              <w:pStyle w:val="TableContents"/>
              <w:bidi w:val="0"/>
              <w:spacing w:lineRule="auto" w:line="333" w:before="0" w:after="0"/>
              <w:jc w:val="center"/>
              <w:rPr>
                <w:rFonts w:ascii="Arial;sans-serif" w:hAnsi="Arial;sans-serif"/>
                <w:b/>
                <w:color w:val="FFFFFF"/>
                <w:sz w:val="16"/>
              </w:rPr>
            </w:pPr>
            <w:r>
              <w:rPr>
                <w:rFonts w:ascii="Arial;sans-serif" w:hAnsi="Arial;sans-serif"/>
                <w:b/>
                <w:color w:val="FFFFFF"/>
                <w:sz w:val="16"/>
              </w:rPr>
              <w:t xml:space="preserve">Cause or for Disability or by </w:t>
            </w:r>
          </w:p>
          <w:p>
            <w:pPr>
              <w:pStyle w:val="TableContents"/>
              <w:bidi w:val="0"/>
              <w:spacing w:lineRule="auto" w:line="333" w:before="0" w:after="30"/>
              <w:jc w:val="center"/>
              <w:rPr>
                <w:rFonts w:ascii="Arial;sans-serif" w:hAnsi="Arial;sans-serif"/>
                <w:b/>
                <w:color w:val="FFFFFF"/>
                <w:sz w:val="16"/>
              </w:rPr>
            </w:pPr>
            <w:r>
              <w:rPr>
                <w:rFonts w:ascii="Arial;sans-serif" w:hAnsi="Arial;sans-serif"/>
                <w:b/>
                <w:color w:val="FFFFFF"/>
                <w:sz w:val="16"/>
              </w:rPr>
              <w:t>Executive for Good Reason ($)</w:t>
            </w:r>
          </w:p>
        </w:tc>
      </w:tr>
      <w:tr>
        <w:trPr/>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16" w:space="0" w:color="00205B"/>
              <w:left w:val="single" w:sz="16"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Bradley L. Soultz</w:t>
            </w:r>
          </w:p>
        </w:tc>
        <w:tc>
          <w:tcPr>
            <w:tcW w:w="1764"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6" w:space="0" w:color="00205B"/>
              <w:right w:val="single" w:sz="16" w:space="0" w:color="00205B"/>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979,440 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4,897,201 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6,366,362 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1,723,971 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1,723,971 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1,723,971 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1,723,971 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29,950,458 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29,950,458 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35,138,512 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35,138,512 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30,173 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32,653,896 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31,689,516 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41,789,857 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43,258,018 </w:t>
            </w:r>
          </w:p>
        </w:tc>
        <w:tc>
          <w:tcPr>
            <w:tcW w:w="273" w:type="dxa"/>
            <w:tcBorders>
              <w:top w:val="single" w:sz="8" w:space="0" w:color="000000"/>
              <w:right w:val="single" w:sz="16"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16" w:space="0" w:color="00205B"/>
              <w:left w:val="single" w:sz="16"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Timothy D. Boswell</w:t>
            </w:r>
          </w:p>
        </w:tc>
        <w:tc>
          <w:tcPr>
            <w:tcW w:w="1764"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6" w:space="0" w:color="00205B"/>
              <w:right w:val="single" w:sz="16" w:space="0" w:color="00205B"/>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655,627 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2,212,742 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4,589,390 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961,674 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961,674 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961,674 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961,674 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16,845,609 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16,845,609 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18,495,867 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18,495,867 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21,957 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32,935 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32,935 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18,462,909 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17,829,239 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21,703,218 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24,079,866 </w:t>
            </w:r>
          </w:p>
        </w:tc>
        <w:tc>
          <w:tcPr>
            <w:tcW w:w="273" w:type="dxa"/>
            <w:tcBorders>
              <w:top w:val="single" w:sz="8" w:space="0" w:color="000000"/>
              <w:right w:val="single" w:sz="16"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16" w:space="0" w:color="00205B"/>
              <w:left w:val="single" w:sz="16"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Hezron T. Lopez</w:t>
            </w:r>
          </w:p>
        </w:tc>
        <w:tc>
          <w:tcPr>
            <w:tcW w:w="1764"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6" w:space="0" w:color="00205B"/>
              <w:right w:val="single" w:sz="16" w:space="0" w:color="00205B"/>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546,000 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1,556,100 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2,293,200 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576,628 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576,628 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576,628 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576,628 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4,625,464 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4,625,464 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5,871,324 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5,871,324 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23,608 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35,413 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35,413 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5,747,092 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5,225,700 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8,039,465 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8,776,565 </w:t>
            </w:r>
          </w:p>
        </w:tc>
        <w:tc>
          <w:tcPr>
            <w:tcW w:w="273" w:type="dxa"/>
            <w:tcBorders>
              <w:top w:val="single" w:sz="8" w:space="0" w:color="000000"/>
              <w:right w:val="single" w:sz="16"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12" w:space="0" w:color="00205B"/>
              <w:left w:val="single" w:sz="12"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Felicia K. Gorcyca</w:t>
            </w:r>
          </w:p>
        </w:tc>
        <w:tc>
          <w:tcPr>
            <w:tcW w:w="1764"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2" w:space="0" w:color="00205B"/>
              <w:right w:val="single" w:sz="12" w:space="0" w:color="00205B"/>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2" w:space="0" w:color="00205B"/>
            </w:tcBorders>
            <w:tcMar>
              <w:top w:w="0" w:type="dxa"/>
              <w:bottom w:w="0" w:type="dxa"/>
              <w:right w:w="0" w:type="dxa"/>
            </w:tcMar>
            <w:vAlign w:val="center"/>
          </w:tcPr>
          <w:p>
            <w:pPr>
              <w:pStyle w:val="TableContents"/>
              <w:bidi w:val="0"/>
              <w:spacing w:lineRule="auto" w:line="240" w:before="13" w:after="30"/>
              <w:jc w:val="left"/>
              <w:rPr/>
            </w:pPr>
            <w:r>
              <w:rPr>
                <w:rFonts w:ascii="Arial;sans-serif" w:hAnsi="Arial;sans-serif"/>
                <w:b w:val="false"/>
                <w:color w:val="000000"/>
                <w:sz w:val="16"/>
              </w:rPr>
              <w:t>Severance</w:t>
            </w:r>
            <w:r>
              <w:rPr>
                <w:rFonts w:ascii="Arial;sans-serif" w:hAnsi="Arial;sans-serif"/>
                <w:b w:val="false"/>
                <w:color w:val="000000"/>
                <w:sz w:val="10"/>
              </w:rPr>
              <w:t>(2)</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450,000 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787,500 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787,500 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2"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231,021 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231,021 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231,021 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231,021 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2"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2" w:space="0" w:color="00205B"/>
            </w:tcBorders>
            <w:tcMar>
              <w:top w:w="0" w:type="dxa"/>
              <w:bottom w:w="0" w:type="dxa"/>
              <w:right w:w="0" w:type="dxa"/>
            </w:tcMar>
            <w:vAlign w:val="center"/>
          </w:tcPr>
          <w:p>
            <w:pPr>
              <w:pStyle w:val="TableContents"/>
              <w:bidi w:val="0"/>
              <w:spacing w:lineRule="auto" w:line="240" w:before="13" w:after="3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2"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21,957 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21,957 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21,957 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2"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231,021 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681,021 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1,040,478 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1,051,456 </w:t>
            </w:r>
          </w:p>
        </w:tc>
        <w:tc>
          <w:tcPr>
            <w:tcW w:w="273" w:type="dxa"/>
            <w:tcBorders>
              <w:top w:val="single" w:sz="8" w:space="0" w:color="000000"/>
              <w:right w:val="single" w:sz="16"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12"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16" w:space="0" w:color="00205B"/>
              <w:left w:val="single" w:sz="16"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Graeme Parkes</w:t>
            </w:r>
          </w:p>
        </w:tc>
        <w:tc>
          <w:tcPr>
            <w:tcW w:w="1764"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6" w:space="0" w:color="00205B"/>
              <w:right w:val="single" w:sz="16" w:space="0" w:color="00205B"/>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Severance</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436,800 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764,400 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982,800 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384,419 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384,419 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384,419 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384,419 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3,868,029 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3,868,029 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4,584,039 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4,584,039 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4,689,248 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4,252,448 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5,732,858 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5,951,258 </w:t>
            </w:r>
          </w:p>
        </w:tc>
        <w:tc>
          <w:tcPr>
            <w:tcW w:w="273" w:type="dxa"/>
            <w:tcBorders>
              <w:top w:val="single" w:sz="8" w:space="0" w:color="000000"/>
              <w:right w:val="single" w:sz="16" w:space="0" w:color="00205B"/>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205B"/>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16" w:space="0" w:color="00205B"/>
              <w:left w:val="single" w:sz="8" w:space="0" w:color="D4D4D4"/>
            </w:tcBorders>
            <w:tcMar>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6" w:space="0" w:color="00205B"/>
              <w:left w:val="single" w:sz="8" w:space="0" w:color="D4D4D4"/>
              <w:right w:val="single" w:sz="8" w:space="0" w:color="D4D4D4"/>
            </w:tcBorders>
            <w:tcMar>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top w:val="single" w:sz="16" w:space="0" w:color="00205B"/>
              <w:left w:val="single" w:sz="16" w:space="0" w:color="00205B"/>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Sally J. Shanks</w:t>
            </w:r>
          </w:p>
        </w:tc>
        <w:tc>
          <w:tcPr>
            <w:tcW w:w="1764"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16" w:space="0" w:color="0020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3"/>
            <w:tcBorders>
              <w:top w:val="single" w:sz="16" w:space="0" w:color="00205B"/>
              <w:right w:val="single" w:sz="16" w:space="0" w:color="00205B"/>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6"/>
              </w:rPr>
              <w:t>Severance</w:t>
            </w:r>
            <w:r>
              <w:rPr>
                <w:rFonts w:ascii="Arial;sans-serif" w:hAnsi="Arial;sans-serif"/>
                <w:b w:val="false"/>
                <w:color w:val="000000"/>
                <w:sz w:val="10"/>
              </w:rPr>
              <w:t>(3)</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307,500 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307,500 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 Rata Bonus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240,555 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240,555 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Vesting of Stock Options</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333" w:before="53" w:after="30"/>
              <w:jc w:val="left"/>
              <w:rPr/>
            </w:pPr>
            <w:r>
              <w:rPr>
                <w:rFonts w:ascii="Arial;sans-serif" w:hAnsi="Arial;sans-serif"/>
                <w:b w:val="false"/>
                <w:color w:val="000000"/>
                <w:sz w:val="16"/>
              </w:rPr>
              <w:t>Vesting of Restricted Stock Units</w:t>
            </w:r>
            <w:r>
              <w:rPr>
                <w:rFonts w:ascii="Arial;sans-serif" w:hAnsi="Arial;sans-serif"/>
                <w:b w:val="false"/>
                <w:color w:val="000000"/>
                <w:sz w:val="10"/>
              </w:rPr>
              <w:t>(1)</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Insurance</w:t>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right w:val="single" w:sz="16" w:space="0" w:color="00205B"/>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997" w:type="dxa"/>
            <w:gridSpan w:val="3"/>
            <w:tcBorders>
              <w:left w:val="single" w:sz="16" w:space="0" w:color="00205B"/>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73" w:type="dxa"/>
            <w:tcBorders>
              <w:top w:val="single" w:sz="8" w:space="0" w:color="000000"/>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top w:val="single" w:sz="8" w:space="0" w:color="000000"/>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single" w:sz="16"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68" w:type="dxa"/>
            <w:tcBorders>
              <w:top w:val="single" w:sz="8" w:space="0" w:color="000000"/>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single" w:sz="16"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94" w:type="dxa"/>
            <w:tcBorders>
              <w:top w:val="single" w:sz="8" w:space="0" w:color="000000"/>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548,055 </w:t>
            </w:r>
          </w:p>
        </w:tc>
        <w:tc>
          <w:tcPr>
            <w:tcW w:w="191" w:type="dxa"/>
            <w:tcBorders>
              <w:top w:val="single" w:sz="8" w:space="0" w:color="000000"/>
              <w:bottom w:val="single" w:sz="16" w:space="0" w:color="00205B"/>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668" w:type="dxa"/>
            <w:tcBorders>
              <w:top w:val="single" w:sz="8" w:space="0" w:color="000000"/>
              <w:bottom w:val="single" w:sz="16" w:space="0" w:color="00205B"/>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548,055 </w:t>
            </w:r>
          </w:p>
        </w:tc>
        <w:tc>
          <w:tcPr>
            <w:tcW w:w="273" w:type="dxa"/>
            <w:tcBorders>
              <w:top w:val="single" w:sz="8" w:space="0" w:color="000000"/>
              <w:bottom w:val="single" w:sz="16" w:space="0" w:color="00205B"/>
              <w:right w:val="single" w:sz="16" w:space="0" w:color="00205B"/>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16" w:space="0" w:color="00205B"/>
            </w:tcBorders>
            <w:tcMar>
              <w:top w:w="30" w:type="dxa"/>
              <w:left w:w="0" w:type="dxa"/>
              <w:bottom w:w="0" w:type="dxa"/>
              <w:right w:w="0" w:type="dxa"/>
            </w:tcMar>
            <w:vAlign w:val="center"/>
          </w:tcPr>
          <w:p>
            <w:pPr>
              <w:pStyle w:val="TableContents"/>
              <w:bidi w:val="0"/>
              <w:spacing w:lineRule="auto" w:line="240" w:before="53" w:after="283"/>
              <w:ind w:left="0" w:right="0" w:hanging="360"/>
              <w:jc w:val="both"/>
              <w:rPr>
                <w:rFonts w:ascii="Arial;sans-serif" w:hAnsi="Arial;sans-serif"/>
                <w:b w:val="false"/>
                <w:i/>
                <w:color w:val="000000"/>
                <w:sz w:val="16"/>
              </w:rPr>
            </w:pPr>
            <w:r>
              <w:rPr>
                <w:rFonts w:ascii="Arial;sans-serif" w:hAnsi="Arial;sans-serif"/>
                <w:b w:val="false"/>
                <w:i/>
                <w:color w:val="000000"/>
                <w:sz w:val="16"/>
              </w:rPr>
              <w:t>(1)Includes performance based RSU's at target performance.</w:t>
            </w:r>
          </w:p>
          <w:p>
            <w:pPr>
              <w:pStyle w:val="TableContents"/>
              <w:bidi w:val="0"/>
              <w:spacing w:lineRule="auto" w:line="240" w:before="0" w:after="0"/>
              <w:ind w:left="0" w:right="0" w:hanging="360"/>
              <w:jc w:val="both"/>
              <w:rPr>
                <w:rFonts w:ascii="Arial;sans-serif" w:hAnsi="Arial;sans-serif"/>
                <w:b w:val="false"/>
                <w:i/>
                <w:color w:val="000000"/>
                <w:sz w:val="16"/>
              </w:rPr>
            </w:pPr>
            <w:r>
              <w:rPr>
                <w:rFonts w:ascii="Arial;sans-serif" w:hAnsi="Arial;sans-serif"/>
                <w:b w:val="false"/>
                <w:i/>
                <w:color w:val="000000"/>
                <w:sz w:val="16"/>
              </w:rPr>
              <w:t>(2)956,250 in the case of termination without cause.</w:t>
            </w:r>
          </w:p>
          <w:p>
            <w:pPr>
              <w:pStyle w:val="TableContents"/>
              <w:bidi w:val="0"/>
              <w:spacing w:lineRule="auto" w:line="240" w:before="0" w:after="30"/>
              <w:jc w:val="both"/>
              <w:rPr>
                <w:rFonts w:ascii="Arial;sans-serif" w:hAnsi="Arial;sans-serif"/>
                <w:b w:val="false"/>
                <w:i/>
                <w:color w:val="000000"/>
                <w:sz w:val="16"/>
              </w:rPr>
            </w:pPr>
            <w:r>
              <w:rPr>
                <w:rFonts w:ascii="Arial;sans-serif" w:hAnsi="Arial;sans-serif"/>
                <w:b w:val="false"/>
                <w:i/>
                <w:color w:val="000000"/>
                <w:sz w:val="16"/>
              </w:rPr>
              <w:t>(3) Only payable in the case of Termination by Company without Cause (with or without a Change in Control)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6840"/>
                <wp:effectExtent l="0" t="0" r="0" b="0"/>
                <wp:wrapNone/>
                <wp:docPr id="150" name="Frame1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As discussed above under “Compensation Discussion and Analysis – Elements of Compensation - In Detail – Other Compensation and Benefits – Employment Agreements,” we have entered into employment agreements or compensation letters with each of our current named executive officers. Those agreements or compensation letters provide for severance and other benefits upon termination that are quantified in the table above. A summary of the provisions of the agreements or compensation letters relating to termination of employment is below.</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Bradley L. Soultz, Chief Executive Officer</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Soultz Agreement provides that in the event of a termination of employment without Cause (as defined in the Soultz Agreement) or due to the delivery of a notice of non-renewal of the term by the Company or a resignation for Good Reason (as defined in the Soultz Agreement), in addition to Accrued Benefits (as defined in the Soultz Agreement), Mr. Soultz will be entitled to receive (i) a cash severance payment of his continued base salary for 24 months, (ii) a pro rata portion of the annual bonus he would have received based on actual performance, (iii) his full target annual bonus for the year of termination, (iv) continued vesting of any annual equity awards for 24 months and full vesting of the retention award and any annual equity awards granted within 24 months following the completion of the merger (based on actual performance, as applicable), (v) payments equal to the cost of continuing coverage under the Company’s health insurance plan for twelve months, and (vi) up to $25,000 in outplacement services. Mr. Soultz will be entitled to the same benefits in the event of a termination of employment without Cause or a resignation for Good Reason during the 30-month period following the completion of the merger or the 12-month period after any subsequent Change in Control (as defined in the Soultz Agreement), except that he will receive (i) a cash severance payment equal to 2x the sum of his base salary at the rate in effect at the time of termination and his target bonus for the year of termination, (ii) the cost of continuing coverage under the Company’s health insurance plan for 24 months, and (iii) any outstanding equity awards will immediately vest in full upon such termination.</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Timothy D. Boswell, President and Chief Financial Officer</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Boswell Agreement provides that in the event of a termination of employment without Cause (as defined in the Boswell Agreement) or due to the delivery of a notice of non-renewal of the term by the Company or a resignation for Good Reason (as defined in the Boswell Agreement), in addition to Accrued Benefits (as defined in the Boswell Agreement), Mr. Boswell will be entitled to receive (i) a cash severance payment of his continued base salary for 18 months, (ii) a pro rata portion of the annual bonus he would have received based on actual performance, (iii) his full target annual bonus for the year of termination, (iv) continued vesting of any annual equity awards for 18 months and full vesting of the retention award and any annual equity awards granted within 24 months following the completion of the merger, (v) payments equal to the cost of continuing coverage under the Company's health insurance plan for 12 months, and (vi) up to $25,000 in outplacement services. Mr. Boswell will be entitled to the same benefits in the event of a termination of employment during the 30-month period following the completion of the merger or the 12-month period after any subsequent change in control, except that he will receive (i) a cash severance payment equal to the sum of his continued base salary for 18 months and his target bonus for the year of termination, (ii) the cost of continuing coverage under the Company's health insurance plan for 24 months, and (iii) any outstanding equity awards will immediately vest in full upon such termination. If Mr. Boswell's employment is terminated within three years of his relocation to Phoenix, Arizona, Mr. Boswell is also eligible for certain additional relocation benefits.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Hezron T. Lopez, Executive Vice President – Chief Legal &amp; Compliance Officer &amp; ESG</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Lopez Agreement provides that in the event of a termination of employment without Cause (as defined in the Lopez Agreement) or due to the delivery of a notice of non-renewal of the term by the Company or a resignation for Good Reason (as defined in the Lopez Agreement), in addition to Accrued Benefits (as defined in the Lopez Agreement), Mr. Lopez will be entitled to receive (i) a cash severance payment of his continued base salary for 18 months, (ii) a pro rata portion of the annual bonus he would have received based on actual performance, (iii) a lump sum equal to 1.5x the target bonus for the year of termination, (iv) any outstanding equity awards granted should continue to vesting for 18 months, (v) The Post-Merger Equity Award (as defined in the Lopez Agreement) shall immediately vest in full, (vi) cost of continuing coverage under the company’s health insurance plan for 18 months, and (vi) up to $25,000 in outplacement services. Mr. Lopez will be entitled to the same benefits in the event of a termination of employment without Cause or a resignation for Good Reason during the 30-month period following the completion of the merger or the 12-month period after any subsequent Change in Control (as defined in the Lopez Agreement), except that he will receive (i) a cash severance payment equal to 1.5x the sum of his base salary at the rate in effect at the time of termination and his target bonus for the year of termination, (ii) the cost of continuing coverage under the Company’s health insurance plan for 18 months, and (iii) any outstanding equity awards will immediately vest in full upon such termination. If Mr. Lopez’ employment is terminated within three years of his relocation to Phoenix, Arizona, Mr. Lopez is also eligible for certain additional relocation benefits.</w:t>
      </w:r>
    </w:p>
    <w:p>
      <w:pPr>
        <w:pStyle w:val="TextBody"/>
        <w:bidi w:val="0"/>
        <w:spacing w:lineRule="auto" w:line="288" w:before="0" w:after="60"/>
        <w:jc w:val="both"/>
        <w:rPr>
          <w:rFonts w:ascii="Arial;sans-serif" w:hAnsi="Arial;sans-serif"/>
          <w:b/>
          <w:i/>
          <w:color w:val="1D2758"/>
          <w:sz w:val="18"/>
        </w:rPr>
      </w:pPr>
      <w:r>
        <w:rPr>
          <w:rFonts w:ascii="Arial;sans-serif" w:hAnsi="Arial;sans-serif"/>
          <w:b/>
          <w:i/>
          <w:color w:val="1D2758"/>
          <w:sz w:val="18"/>
        </w:rPr>
        <w:t xml:space="preserve">Felicia K. Gorcyca, Executive Vice President – Chief Human Resources Officer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The Gorcyca Agreement provides that in the event of a termination of employment without Cause (as defined in the Gorcyca Agreement) or due to the delivery of a notice of non-renewal of the term by the Company or a resignation for Good Reason (as defined in the Gorcyca Agreement), in addition to Accrued Benefits (as defined in the Gorcyca Agreement), Ms. Gorcyca will be entitled to receive (i) a cash severance payment of her continued base salary for either (x) 18 months for termination without Cause or due to the delivery of a notice of non-renewal of the term by the Company, or (y) 12 months for resignation for Good Reason, (ii) a pro rata portion of the annual bonus she would have received based on actual performance, (iii) a lump sum equal to 1x the target bonus for the year of termination, (iv) any outstanding equity awards granted should continue to vesting for 18 months, and (v) cost of continuing coverage under the company’s health insurance plan for 12 months. 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51" name="Frame1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Gorcyca will be entitled to the same benefits in the event of a termination of employment without Cause or a resignation for Good Reason during 12-month period after any subsequent Change in Control (as defined in the Gorcyca Agreement), except that she will receive (i) any outstanding equity awards will immediately vest in full upon such termination, (ii) the Continued Coverage Payment (as defined in the Gorcyca Agreement) shall be equal to 18 months following termination and shall be paid in a lump sum; and (iii) the incremental Cash Severance Payment (as defined in the Gorcyca Agreement) shall be paid in a lump sum.</w:t>
      </w:r>
    </w:p>
    <w:p>
      <w:pPr>
        <w:pStyle w:val="TextBody"/>
        <w:bidi w:val="0"/>
        <w:spacing w:lineRule="auto" w:line="288" w:before="0" w:after="60"/>
        <w:jc w:val="both"/>
        <w:rPr/>
      </w:pPr>
      <w:r>
        <w:rPr>
          <w:rFonts w:ascii="Arial;sans-serif" w:hAnsi="Arial;sans-serif"/>
          <w:b/>
          <w:i/>
          <w:color w:val="1D2758"/>
          <w:sz w:val="18"/>
        </w:rPr>
        <w:t xml:space="preserve">Graeme Parkes, Executive Vice President </w:t>
      </w:r>
      <w:r>
        <w:rPr>
          <w:color w:val="000000"/>
        </w:rPr>
        <w:t xml:space="preserve">– </w:t>
      </w:r>
      <w:r>
        <w:rPr>
          <w:rFonts w:ascii="Arial;sans-serif" w:hAnsi="Arial;sans-serif"/>
          <w:b/>
          <w:i/>
          <w:color w:val="1D2758"/>
          <w:sz w:val="18"/>
        </w:rPr>
        <w:t>Chief Information Officer</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The Parkes Agreement, effective February 1, 2023, provides that in the event of a termination of employment without Cause (as defined in the Parkes Agreement) or due to the delivery of a notice of non-renewal of the term by the Company or a resignation for Good Reason (as defined in the Parkes Agreement), in addition to Accrued Benefits (as defined in the Parkes Agreement), Mr. Parkes will be entitled to receive (i) a cash severance payment of his continued base salary for 12 months in the event of resignation for Good Reason or 18 months in the event of termination without Cause, respectively, (ii) a pro rata portion of the annual bonus he would have received based on actual performance, (iii) a lump sum equal to 1x the target bonus for the year of termination, (iv) any outstanding equity awards granted will continue to vest during the severance period (v) payments equal to the cost of continuing coverage under the Company's health insurance plan for 18 months. Mr. Parkes will be entitled to the same benefits in the event of a termination of employment without Cause or a resignation for Good Reason during the 12-month period after a Change in Control (as defined in the Parkes Agreement), except that he will receive (i) a lump sum cash severance payment equal to 18 months of base salary, (ii) the cost of continuing coverage under the Company’s health insurance plan for 18 months, and (iii) any outstanding equity awards will immediately vest in full upon such termination. </w:t>
      </w:r>
    </w:p>
    <w:p>
      <w:pPr>
        <w:pStyle w:val="TextBody"/>
        <w:bidi w:val="0"/>
        <w:spacing w:lineRule="auto" w:line="288" w:before="0" w:after="60"/>
        <w:jc w:val="both"/>
        <w:rPr/>
      </w:pPr>
      <w:r>
        <w:rPr>
          <w:rFonts w:ascii="Arial;sans-serif" w:hAnsi="Arial;sans-serif"/>
          <w:b/>
          <w:i/>
          <w:color w:val="1D2758"/>
          <w:sz w:val="18"/>
        </w:rPr>
        <w:t xml:space="preserve">Sally J. Shanks, Senior Vice President </w:t>
      </w:r>
      <w:r>
        <w:rPr>
          <w:color w:val="000000"/>
        </w:rPr>
        <w:t>–</w:t>
      </w:r>
      <w:r>
        <w:rPr>
          <w:color w:val="1D2758"/>
        </w:rPr>
        <w:t xml:space="preserve"> </w:t>
      </w:r>
      <w:r>
        <w:rPr>
          <w:rFonts w:ascii="Arial;sans-serif" w:hAnsi="Arial;sans-serif"/>
          <w:b/>
          <w:i/>
          <w:color w:val="1D2758"/>
          <w:sz w:val="18"/>
        </w:rPr>
        <w:t>Chief Accounting Officer</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Under Ms. Shanks’s compensation letter, if we terminate her employment without cause, we will pay Ms. Shanks nine months’ base salary plus a pro rata STIP award. Ms. Shanks will also be eligible for health benefits continuation for up to one year.</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Equity Plan Provisions Relating to Termination of Employment and Change in Control</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Our named executive officers hold equity-based awards granted under our LTIP. The LTIP and the award agreements entered into with our NEOs with respect to their awards provide for “double trigger” vesting on a change in control such that, if a change in control occurs and the NEO’s employment is terminated by us without cause or by the NEO for good reason within 12 months after the change in control, then the award will immediately become vested in full.</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Risk Considerations and Review of Executive Compensation Practices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Compensation Committee conducts an annual risk assessment of our compensation policies and practices for employees, including those related to our executive compensation program. As part of the risk assessment, the Compensation Committee reviews our compensation program for design features that have been identified as having the potential to encourage excessive risk-taking. Based on this review, the Compensation Committee has determined that, for all employees, our compensation program does not encourage excessive risk. The Compensation Committee, with the assistance of independent advisors, intends to continue on an on-going basis a process of reviewing our compensation policies and program to ensure that our compensation program and risk mitigation strategies continue to discourage imprudent risk-taking activities.</w:t>
      </w:r>
    </w:p>
    <w:p>
      <w:pPr>
        <w:pStyle w:val="TextBody"/>
        <w:bidi w:val="0"/>
        <w:spacing w:lineRule="auto" w:line="288" w:before="0" w:after="60"/>
        <w:jc w:val="both"/>
        <w:rPr>
          <w:rFonts w:ascii="Arial;sans-serif" w:hAnsi="Arial;sans-serif"/>
          <w:b/>
          <w:color w:val="000000"/>
          <w:sz w:val="20"/>
        </w:rPr>
      </w:pPr>
      <w:r>
        <w:rPr>
          <w:rFonts w:ascii="Arial;sans-serif" w:hAnsi="Arial;sans-serif"/>
          <w:b/>
          <w:color w:val="000000"/>
          <w:sz w:val="20"/>
        </w:rPr>
        <w:t>2023 CEO to Median Employee Pay Ratio</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In accordance with SEC rules, the Company is required to determine the ratio of the CEO’s annual total compensation (under the Summary Compensation Table definition) to that of the Company’s median employee. Set forth below is the annual total compensation of our median employee, the annual total compensation of Mr. Soultz and the ratio of those two values for the year ended December 31, 2023: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annual total compensation of the employee identified as the median employee of the Company (other than our CEO) was $68,433</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annual total compensation of Mr. Soultz as disclosed in the Summary Compensation Table above was $8,391,150 and</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18"/>
        </w:rPr>
        <w:t>The ratio of the annual total compensation of Mr. Soultz to the annual total compensation of our median employee was 122.6.</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In determining the median employee for 2023, we used our employee population as of December 31, 2023, and, in accordance with SEC rules, excluded the CEO to arrive at the median employee consideration pool. We then measured compensation for this population based on gross wages for the period January 1, 2023 to December 31, 2023. We also annualized gross wages for those employees who were not employed for the full January 1, 2023 to December 31, 2023 period. International employee pay was converted to U.S. dollars using the applicable exchange rates at the close of business on December 31, 2023.</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We calculated 2023 annual total compensation for our median employee using the same methodology that we use to determine our CEO’s annual total compensation for the Summary Compensation Table.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This pay ratio is a reasonable estimate calculated in a manner consistent with SEC rules based on our payroll and employment records and the methodology described above. The SEC rules for identifying the median compensated employee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52" name="Frame1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132</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pStyle w:val="TextBody"/>
        <w:bidi w:val="0"/>
        <w:spacing w:lineRule="auto" w:line="288" w:before="0" w:after="60"/>
        <w:jc w:val="both"/>
        <w:rPr/>
      </w:pPr>
      <w:r>
        <w:rPr>
          <w:rFonts w:ascii="Arial;sans-serif" w:hAnsi="Arial;sans-serif"/>
          <w:b/>
          <w:color w:val="000000"/>
          <w:sz w:val="20"/>
        </w:rPr>
        <w:t>Pay Versus Performance Disclosure</w:t>
      </w:r>
      <w:r>
        <w:rPr>
          <w:color w:val="000000"/>
        </w:rPr>
        <w:t xml:space="preserve"> </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As required by Section 953(a) of the Dodd-Frank Wall Street Reform and Consumer Protection Act, and Item 402(v) of Regulation S-K, we are providing the following information about the relationship between compensation actually paid to our Named Executive Officers (NEOs) and certain financial performance metrics of the Company using a methodology that has been prescribed by the SEC.</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As discussed in our Compensation Discussion and Analysis, our pay-for-performance philosophy aligns our executive officers’ compensation with our short-term and long-term objectives as well as emphasizing stockholder value creation. While the Compensation Committee did not use the information provided below to determine compensation for our NEOs for 2023, the results are aligned with this philosophy. We have grown Adjusted EBITDA from continuing and discontinued operations, the primary metric of our short-term cash incentive plan, from $534 million in 2020 to $740 million in 2021 to $970 million in 2022 and further to $1.06 billion in 2023, year-over-year increases of 39%, 31% and 10%, respectively. Our stockholders have seen a return of 141% over this four-year period; outperforming both our indexed peer group and the broader S&amp;P 400 Index. In turn, our NEOs’ compensation, which is primarily equity-based, has appreciated compared to the values when they were first awarded, though the figures below do not represent compensation actually realized. Compensation actually paid (CAP) has been determined under the SEC-defined methodology. However, for equity-based compensation, in addition to equity that has vested in the applicable year, CAP includes the change in fair value for unvested awards. Importantly, these unvested award values have not actually been earned or realized by the executives. For Messrs. Soultz and Boswell, CAP values include the special one-time performance-based RSU awards granted in 2021, which have served to both retain and motivate them thus far in the execution of our long-term strategic plan. The awards were made on September 7, 2021, at a share price of $29.20 and as of December 31, 2023, our share price was $44.50, a 52% increase. Any earned performance-based RSUs awards related to this grant will not vest until 2026.</w:t>
      </w:r>
    </w:p>
    <w:tbl>
      <w:tblPr>
        <w:tblW w:w="10205" w:type="dxa"/>
        <w:jc w:val="left"/>
        <w:tblInd w:w="0" w:type="dxa"/>
        <w:tblLayout w:type="fixed"/>
        <w:tblCellMar>
          <w:top w:w="28" w:type="dxa"/>
          <w:left w:w="28" w:type="dxa"/>
          <w:bottom w:w="28" w:type="dxa"/>
          <w:right w:w="28" w:type="dxa"/>
        </w:tblCellMar>
      </w:tblPr>
      <w:tblGrid>
        <w:gridCol w:w="212"/>
        <w:gridCol w:w="186"/>
        <w:gridCol w:w="188"/>
        <w:gridCol w:w="197"/>
        <w:gridCol w:w="968"/>
        <w:gridCol w:w="111"/>
        <w:gridCol w:w="197"/>
        <w:gridCol w:w="968"/>
        <w:gridCol w:w="111"/>
        <w:gridCol w:w="221"/>
        <w:gridCol w:w="988"/>
        <w:gridCol w:w="124"/>
        <w:gridCol w:w="223"/>
        <w:gridCol w:w="995"/>
        <w:gridCol w:w="125"/>
        <w:gridCol w:w="323"/>
        <w:gridCol w:w="738"/>
        <w:gridCol w:w="124"/>
        <w:gridCol w:w="323"/>
        <w:gridCol w:w="738"/>
        <w:gridCol w:w="124"/>
        <w:gridCol w:w="255"/>
        <w:gridCol w:w="548"/>
        <w:gridCol w:w="143"/>
        <w:gridCol w:w="230"/>
        <w:gridCol w:w="654"/>
        <w:gridCol w:w="191"/>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before="43" w:after="283"/>
              <w:jc w:val="center"/>
              <w:rPr/>
            </w:pPr>
            <w:r>
              <w:rPr/>
            </w:r>
          </w:p>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Fiscal</w:t>
            </w:r>
          </w:p>
          <w:p>
            <w:pPr>
              <w:pStyle w:val="TableContents"/>
              <w:bidi w:val="0"/>
              <w:spacing w:lineRule="auto" w:line="240" w:before="0" w:after="30"/>
              <w:jc w:val="center"/>
              <w:rPr>
                <w:rFonts w:ascii="Arial;sans-serif" w:hAnsi="Arial;sans-serif"/>
                <w:b/>
                <w:color w:val="FFFFFF"/>
                <w:sz w:val="16"/>
              </w:rPr>
            </w:pPr>
            <w:r>
              <w:rPr>
                <w:rFonts w:ascii="Arial;sans-serif" w:hAnsi="Arial;sans-serif"/>
                <w:b/>
                <w:color w:val="FFFFFF"/>
                <w:sz w:val="16"/>
              </w:rPr>
              <w:t>Year</w:t>
            </w:r>
          </w:p>
        </w:tc>
        <w:tc>
          <w:tcPr>
            <w:tcW w:w="1276"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FFFFFF"/>
                <w:sz w:val="16"/>
              </w:rPr>
            </w:pPr>
            <w:r>
              <w:rPr>
                <w:rFonts w:ascii="Arial;sans-serif" w:hAnsi="Arial;sans-serif"/>
                <w:b/>
                <w:color w:val="FFFFFF"/>
                <w:sz w:val="16"/>
              </w:rPr>
              <w:t>Summary</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Table Total</w:t>
            </w:r>
          </w:p>
          <w:p>
            <w:pPr>
              <w:pStyle w:val="TableContents"/>
              <w:bidi w:val="0"/>
              <w:spacing w:lineRule="auto" w:line="240" w:before="0" w:after="30"/>
              <w:jc w:val="center"/>
              <w:rPr/>
            </w:pPr>
            <w:r>
              <w:rPr>
                <w:rFonts w:ascii="Arial;sans-serif" w:hAnsi="Arial;sans-serif"/>
                <w:b/>
                <w:color w:val="FFFFFF"/>
                <w:sz w:val="16"/>
              </w:rPr>
              <w:t>for PEO</w:t>
            </w:r>
            <w:r>
              <w:rPr>
                <w:rFonts w:ascii="Arial;sans-serif" w:hAnsi="Arial;sans-serif"/>
                <w:b/>
                <w:color w:val="FFFFFF"/>
                <w:sz w:val="10"/>
              </w:rPr>
              <w:t>(1)</w:t>
            </w:r>
          </w:p>
        </w:tc>
        <w:tc>
          <w:tcPr>
            <w:tcW w:w="1276"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before="43" w:after="283"/>
              <w:jc w:val="center"/>
              <w:rPr/>
            </w:pPr>
            <w:r>
              <w:rPr/>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Actually Paid</w:t>
            </w:r>
          </w:p>
          <w:p>
            <w:pPr>
              <w:pStyle w:val="TableContents"/>
              <w:bidi w:val="0"/>
              <w:spacing w:lineRule="auto" w:line="240" w:before="0" w:after="30"/>
              <w:jc w:val="center"/>
              <w:rPr/>
            </w:pPr>
            <w:r>
              <w:rPr>
                <w:rFonts w:ascii="Arial;sans-serif" w:hAnsi="Arial;sans-serif"/>
                <w:b/>
                <w:color w:val="FFFFFF"/>
                <w:sz w:val="16"/>
              </w:rPr>
              <w:t>to PEO</w:t>
            </w:r>
            <w:r>
              <w:rPr>
                <w:rFonts w:ascii="Arial;sans-serif" w:hAnsi="Arial;sans-serif"/>
                <w:b/>
                <w:color w:val="FFFFFF"/>
                <w:sz w:val="10"/>
              </w:rPr>
              <w:t>(1)(2)</w:t>
            </w:r>
          </w:p>
        </w:tc>
        <w:tc>
          <w:tcPr>
            <w:tcW w:w="1333"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FFFFFF"/>
                <w:sz w:val="16"/>
              </w:rPr>
            </w:pPr>
            <w:r>
              <w:rPr>
                <w:rFonts w:ascii="Arial;sans-serif" w:hAnsi="Arial;sans-serif"/>
                <w:b/>
                <w:color w:val="FFFFFF"/>
                <w:sz w:val="16"/>
              </w:rPr>
              <w:t>Average Summary</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Table Total</w:t>
            </w:r>
          </w:p>
          <w:p>
            <w:pPr>
              <w:pStyle w:val="TableContents"/>
              <w:bidi w:val="0"/>
              <w:spacing w:lineRule="auto" w:line="240" w:before="0" w:after="30"/>
              <w:jc w:val="center"/>
              <w:rPr/>
            </w:pPr>
            <w:r>
              <w:rPr>
                <w:rFonts w:ascii="Arial;sans-serif" w:hAnsi="Arial;sans-serif"/>
                <w:b/>
                <w:color w:val="FFFFFF"/>
                <w:sz w:val="16"/>
              </w:rPr>
              <w:t>for non-PEO NEOs</w:t>
            </w:r>
            <w:r>
              <w:rPr>
                <w:rFonts w:ascii="Arial;sans-serif" w:hAnsi="Arial;sans-serif"/>
                <w:b/>
                <w:color w:val="FFFFFF"/>
                <w:sz w:val="10"/>
              </w:rPr>
              <w:t>(1)</w:t>
            </w:r>
          </w:p>
        </w:tc>
        <w:tc>
          <w:tcPr>
            <w:tcW w:w="1343"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FFFFFF"/>
                <w:sz w:val="16"/>
              </w:rPr>
            </w:pPr>
            <w:r>
              <w:rPr>
                <w:rFonts w:ascii="Arial;sans-serif" w:hAnsi="Arial;sans-serif"/>
                <w:b/>
                <w:color w:val="FFFFFF"/>
                <w:sz w:val="16"/>
              </w:rPr>
              <w:t>Average</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Compensation</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Actually Paid</w:t>
            </w:r>
          </w:p>
          <w:p>
            <w:pPr>
              <w:pStyle w:val="TableContents"/>
              <w:bidi w:val="0"/>
              <w:spacing w:lineRule="auto" w:line="240" w:before="0" w:after="30"/>
              <w:jc w:val="center"/>
              <w:rPr/>
            </w:pPr>
            <w:r>
              <w:rPr>
                <w:rFonts w:ascii="Arial;sans-serif" w:hAnsi="Arial;sans-serif"/>
                <w:b/>
                <w:color w:val="FFFFFF"/>
                <w:sz w:val="16"/>
              </w:rPr>
              <w:t>to non-PEO NEOs</w:t>
            </w:r>
            <w:r>
              <w:rPr>
                <w:rFonts w:ascii="Arial;sans-serif" w:hAnsi="Arial;sans-serif"/>
                <w:b/>
                <w:color w:val="FFFFFF"/>
                <w:sz w:val="10"/>
              </w:rPr>
              <w:t>(1)(2)</w:t>
            </w:r>
          </w:p>
        </w:tc>
        <w:tc>
          <w:tcPr>
            <w:tcW w:w="2370" w:type="dxa"/>
            <w:gridSpan w:val="6"/>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Value of Initial Fixed $100 Investment Based on:</w:t>
            </w:r>
          </w:p>
        </w:tc>
        <w:tc>
          <w:tcPr>
            <w:tcW w:w="946"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FFFFFF"/>
                <w:sz w:val="16"/>
              </w:rPr>
            </w:pPr>
            <w:r>
              <w:rPr>
                <w:rFonts w:ascii="Arial;sans-serif" w:hAnsi="Arial;sans-serif"/>
                <w:b/>
                <w:color w:val="FFFFFF"/>
                <w:sz w:val="16"/>
              </w:rPr>
              <w:t xml:space="preserve">Net Income </w:t>
            </w:r>
          </w:p>
          <w:p>
            <w:pPr>
              <w:pStyle w:val="TableContents"/>
              <w:bidi w:val="0"/>
              <w:spacing w:lineRule="auto" w:line="240" w:before="0" w:after="30"/>
              <w:jc w:val="center"/>
              <w:rPr>
                <w:rFonts w:ascii="Arial;sans-serif" w:hAnsi="Arial;sans-serif"/>
                <w:b/>
                <w:color w:val="FFFFFF"/>
                <w:sz w:val="16"/>
              </w:rPr>
            </w:pPr>
            <w:r>
              <w:rPr>
                <w:rFonts w:ascii="Arial;sans-serif" w:hAnsi="Arial;sans-serif"/>
                <w:b/>
                <w:color w:val="FFFFFF"/>
                <w:sz w:val="16"/>
              </w:rPr>
              <w:t>($ millions)</w:t>
            </w:r>
          </w:p>
        </w:tc>
        <w:tc>
          <w:tcPr>
            <w:tcW w:w="1075" w:type="dxa"/>
            <w:gridSpan w:val="3"/>
            <w:vMerge w:val="restart"/>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43" w:after="283"/>
              <w:jc w:val="center"/>
              <w:rPr/>
            </w:pPr>
            <w:r>
              <w:rPr>
                <w:rFonts w:ascii="Arial;sans-serif" w:hAnsi="Arial;sans-serif"/>
                <w:b/>
                <w:color w:val="FFFFFF"/>
                <w:sz w:val="16"/>
              </w:rPr>
              <w:t>Adjusted EBITDA</w:t>
            </w:r>
            <w:r>
              <w:rPr>
                <w:rFonts w:ascii="Arial;sans-serif" w:hAnsi="Arial;sans-serif"/>
                <w:b/>
                <w:color w:val="FFFFFF"/>
                <w:sz w:val="10"/>
              </w:rPr>
              <w:t>(4)</w:t>
            </w:r>
          </w:p>
          <w:p>
            <w:pPr>
              <w:pStyle w:val="TableContents"/>
              <w:bidi w:val="0"/>
              <w:spacing w:lineRule="auto" w:line="240" w:before="0" w:after="30"/>
              <w:jc w:val="center"/>
              <w:rPr>
                <w:rFonts w:ascii="Arial;sans-serif" w:hAnsi="Arial;sans-serif"/>
                <w:b/>
                <w:color w:val="FFFFFF"/>
                <w:sz w:val="16"/>
              </w:rPr>
            </w:pPr>
            <w:r>
              <w:rPr>
                <w:rFonts w:ascii="Arial;sans-serif" w:hAnsi="Arial;sans-serif"/>
                <w:b/>
                <w:color w:val="FFFFFF"/>
                <w:sz w:val="16"/>
              </w:rPr>
              <w:t>($ millions)</w:t>
            </w:r>
          </w:p>
        </w:tc>
      </w:tr>
      <w:tr>
        <w:trPr/>
        <w:tc>
          <w:tcPr>
            <w:tcW w:w="586"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276"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333"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343"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185" w:type="dxa"/>
            <w:gridSpan w:val="3"/>
            <w:tcBorders/>
            <w:shd w:fill="001F5B" w:val="clear"/>
            <w:tcMar>
              <w:top w:w="0" w:type="dxa"/>
              <w:left w:w="0" w:type="dxa"/>
              <w:bottom w:w="0" w:type="dxa"/>
              <w:right w:w="0" w:type="dxa"/>
            </w:tcMar>
            <w:vAlign w:val="center"/>
          </w:tcPr>
          <w:p>
            <w:pPr>
              <w:pStyle w:val="TableContents"/>
              <w:bidi w:val="0"/>
              <w:spacing w:before="43" w:after="283"/>
              <w:jc w:val="center"/>
              <w:rPr/>
            </w:pPr>
            <w:r>
              <w:rPr/>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Shareholder</w:t>
            </w:r>
          </w:p>
          <w:p>
            <w:pPr>
              <w:pStyle w:val="TableContents"/>
              <w:bidi w:val="0"/>
              <w:spacing w:lineRule="auto" w:line="240" w:before="0" w:after="30"/>
              <w:jc w:val="center"/>
              <w:rPr>
                <w:rFonts w:ascii="Arial;sans-serif" w:hAnsi="Arial;sans-serif"/>
                <w:b/>
                <w:color w:val="FFFFFF"/>
                <w:sz w:val="16"/>
              </w:rPr>
            </w:pPr>
            <w:r>
              <w:rPr>
                <w:rFonts w:ascii="Arial;sans-serif" w:hAnsi="Arial;sans-serif"/>
                <w:b/>
                <w:color w:val="FFFFFF"/>
                <w:sz w:val="16"/>
              </w:rPr>
              <w:t>Return</w:t>
            </w:r>
          </w:p>
        </w:tc>
        <w:tc>
          <w:tcPr>
            <w:tcW w:w="1185" w:type="dxa"/>
            <w:gridSpan w:val="3"/>
            <w:tcBorders/>
            <w:shd w:fill="001F5B" w:val="clear"/>
            <w:tcMar>
              <w:top w:w="0" w:type="dxa"/>
              <w:left w:w="0" w:type="dxa"/>
              <w:bottom w:w="0" w:type="dxa"/>
              <w:right w:w="0" w:type="dxa"/>
            </w:tcMar>
            <w:vAlign w:val="center"/>
          </w:tcPr>
          <w:p>
            <w:pPr>
              <w:pStyle w:val="TableContents"/>
              <w:bidi w:val="0"/>
              <w:spacing w:lineRule="auto" w:line="240" w:before="43" w:after="283"/>
              <w:jc w:val="center"/>
              <w:rPr>
                <w:rFonts w:ascii="Arial;sans-serif" w:hAnsi="Arial;sans-serif"/>
                <w:b/>
                <w:color w:val="FFFFFF"/>
                <w:sz w:val="16"/>
              </w:rPr>
            </w:pPr>
            <w:r>
              <w:rPr>
                <w:rFonts w:ascii="Arial;sans-serif" w:hAnsi="Arial;sans-serif"/>
                <w:b/>
                <w:color w:val="FFFFFF"/>
                <w:sz w:val="16"/>
              </w:rPr>
              <w:t>Peer Group</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Total</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Shareholder</w:t>
            </w:r>
          </w:p>
          <w:p>
            <w:pPr>
              <w:pStyle w:val="TableContents"/>
              <w:bidi w:val="0"/>
              <w:spacing w:lineRule="auto" w:line="240" w:before="0" w:after="30"/>
              <w:jc w:val="center"/>
              <w:rPr/>
            </w:pPr>
            <w:r>
              <w:rPr>
                <w:rFonts w:ascii="Arial;sans-serif" w:hAnsi="Arial;sans-serif"/>
                <w:b/>
                <w:color w:val="FFFFFF"/>
                <w:sz w:val="16"/>
              </w:rPr>
              <w:t>Return</w:t>
            </w:r>
            <w:r>
              <w:rPr>
                <w:rFonts w:ascii="Arial;sans-serif" w:hAnsi="Arial;sans-serif"/>
                <w:b/>
                <w:color w:val="FFFFFF"/>
                <w:sz w:val="10"/>
              </w:rPr>
              <w:t>(3)</w:t>
            </w:r>
          </w:p>
        </w:tc>
        <w:tc>
          <w:tcPr>
            <w:tcW w:w="946"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c>
          <w:tcPr>
            <w:tcW w:w="1075" w:type="dxa"/>
            <w:gridSpan w:val="3"/>
            <w:vMerge w:val="continue"/>
            <w:tcBorders>
              <w:top w:val="single" w:sz="4" w:space="0" w:color="000000"/>
            </w:tcBorders>
            <w:shd w:fill="001F5B" w:val="clear"/>
            <w:tcMar>
              <w:top w:w="30" w:type="dxa"/>
              <w:left w:w="0" w:type="dxa"/>
              <w:bottom w:w="0" w:type="dxa"/>
              <w:right w:w="0" w:type="dxa"/>
            </w:tcMar>
            <w:vAlign w:val="center"/>
          </w:tcPr>
          <w:p>
            <w:pPr>
              <w:pStyle w:val="Normal"/>
              <w:bidi w:val="0"/>
              <w:jc w:val="left"/>
              <w:rPr/>
            </w:pPr>
            <w:r>
              <w:rPr/>
            </w:r>
          </w:p>
        </w:tc>
      </w:tr>
      <w:tr>
        <w:trPr/>
        <w:tc>
          <w:tcPr>
            <w:tcW w:w="586"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w:t>
            </w:r>
          </w:p>
        </w:tc>
        <w:tc>
          <w:tcPr>
            <w:tcW w:w="1276"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(b)</w:t>
            </w:r>
          </w:p>
        </w:tc>
        <w:tc>
          <w:tcPr>
            <w:tcW w:w="1276"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(c)</w:t>
            </w:r>
          </w:p>
        </w:tc>
        <w:tc>
          <w:tcPr>
            <w:tcW w:w="1333"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w:t>
            </w:r>
          </w:p>
        </w:tc>
        <w:tc>
          <w:tcPr>
            <w:tcW w:w="1343"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w:t>
            </w:r>
          </w:p>
        </w:tc>
        <w:tc>
          <w:tcPr>
            <w:tcW w:w="1185"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w:t>
            </w:r>
          </w:p>
        </w:tc>
        <w:tc>
          <w:tcPr>
            <w:tcW w:w="1185"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(g)</w:t>
            </w:r>
          </w:p>
        </w:tc>
        <w:tc>
          <w:tcPr>
            <w:tcW w:w="946"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(h)</w:t>
            </w:r>
          </w:p>
        </w:tc>
        <w:tc>
          <w:tcPr>
            <w:tcW w:w="1075"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(i)</w:t>
            </w:r>
          </w:p>
        </w:tc>
      </w:tr>
      <w:tr>
        <w:trPr/>
        <w:tc>
          <w:tcPr>
            <w:tcW w:w="5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8,391,649 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4,663,073 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2,472,305 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1,619,849 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240.67 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191.45 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8,594,799 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20,813,067 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2,444,495 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4,501,198 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149.43 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2021</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17,660,600 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47,137,307 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4,713,100 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8,546,475 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220.88 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161.27 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2020</w:t>
            </w:r>
          </w:p>
        </w:tc>
        <w:tc>
          <w:tcPr>
            <w:tcW w:w="1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6,276,605 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9,893,532 </w:t>
            </w:r>
          </w:p>
        </w:tc>
        <w:tc>
          <w:tcPr>
            <w:tcW w:w="1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2,009,027 </w:t>
            </w:r>
          </w:p>
        </w:tc>
        <w:tc>
          <w:tcPr>
            <w:tcW w:w="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3,024,177 </w:t>
            </w:r>
          </w:p>
        </w:tc>
        <w:tc>
          <w:tcPr>
            <w:tcW w:w="12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125.31 </w:t>
            </w:r>
          </w:p>
        </w:tc>
        <w:tc>
          <w:tcPr>
            <w:tcW w:w="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114.85 </w:t>
            </w:r>
          </w:p>
        </w:tc>
        <w:tc>
          <w:tcPr>
            <w:tcW w:w="1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9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val="false"/>
          <w:i/>
          <w:color w:val="000000"/>
          <w:sz w:val="16"/>
        </w:rPr>
      </w:pPr>
      <w:r>
        <w:rPr>
          <w:rFonts w:ascii="Arial;sans-serif" w:hAnsi="Arial;sans-serif"/>
          <w:b w:val="false"/>
          <w:i/>
          <w:color w:val="000000"/>
          <w:sz w:val="16"/>
        </w:rPr>
        <w:t>(1) Our principal executive officer (PEO) for 2020-2023 is Mr. Soultz. The non-PEO named executive officers reflected in columns (d) and (e) include the following individuals: Mr. Boswell (2020-2023), Mr. Lopez (2020-2023), Ms. Shanks (2020-2023), Mr. Parkes (2022-2023), Ms. Gorcyca (2023) Christopher J. Miner (2020-2022), and Kelly Williams (2020-2021).</w:t>
      </w:r>
    </w:p>
    <w:p>
      <w:pPr>
        <w:pStyle w:val="TextBody"/>
        <w:bidi w:val="0"/>
        <w:spacing w:lineRule="auto" w:line="288" w:before="0" w:after="240"/>
        <w:jc w:val="both"/>
        <w:rPr>
          <w:rFonts w:ascii="Arial;sans-serif" w:hAnsi="Arial;sans-serif"/>
          <w:b w:val="false"/>
          <w:i/>
          <w:color w:val="000000"/>
          <w:sz w:val="16"/>
        </w:rPr>
      </w:pPr>
      <w:r>
        <w:rPr>
          <w:rFonts w:ascii="Arial;sans-serif" w:hAnsi="Arial;sans-serif"/>
          <w:b w:val="false"/>
          <w:i/>
          <w:color w:val="000000"/>
          <w:sz w:val="16"/>
        </w:rPr>
        <w:t>(2) The following amounts were deducted from / added to Summary Compensation Table (SCT) total compensation in accordance with the SEC-mandated adjustments to calculate Compensation Actually Paid (CAP) to our principal executive officer (PEO) and average CAP to our non-PEO named executive officers. The fair value of equity awards was determined using methodologies and assumptions developed in a manner substantively consistent with those used to determine the grant date fair value of such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153" name="Frame1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133</w:t>
                      </w:r>
                    </w:p>
                  </w:txbxContent>
                </v:textbox>
                <w10:wrap type="none"/>
              </v:rect>
            </w:pict>
          </mc:Fallback>
        </mc:AlternateContent>
      </w:r>
    </w:p>
    <w:p>
      <w:pPr>
        <w:pStyle w:val="TextBody"/>
        <w:bidi w:val="0"/>
        <w:spacing w:before="0" w:after="60"/>
        <w:jc w:val="left"/>
        <w:rPr/>
      </w:pPr>
      <w:r>
        <w:rPr/>
      </w:r>
    </w:p>
    <w:p>
      <w:pPr>
        <w:pStyle w:val="TextBody"/>
        <w:bidi w:val="0"/>
        <w:spacing w:lineRule="auto" w:line="345" w:before="0" w:after="60"/>
        <w:jc w:val="both"/>
        <w:rPr>
          <w:rFonts w:ascii="Arial;sans-serif" w:hAnsi="Arial;sans-serif"/>
          <w:b w:val="false"/>
          <w:color w:val="000000"/>
          <w:sz w:val="18"/>
          <w:u w:val="single"/>
        </w:rPr>
      </w:pPr>
      <w:r>
        <w:rPr>
          <w:rFonts w:ascii="Arial;sans-serif" w:hAnsi="Arial;sans-serif"/>
          <w:b w:val="false"/>
          <w:color w:val="000000"/>
          <w:sz w:val="18"/>
          <w:u w:val="single"/>
        </w:rPr>
        <w:t>PEO SCT Total to CAP Reconciliation</w:t>
      </w:r>
    </w:p>
    <w:tbl>
      <w:tblPr>
        <w:tblW w:w="10205" w:type="dxa"/>
        <w:jc w:val="left"/>
        <w:tblInd w:w="0" w:type="dxa"/>
        <w:tblLayout w:type="fixed"/>
        <w:tblCellMar>
          <w:top w:w="28" w:type="dxa"/>
          <w:left w:w="28" w:type="dxa"/>
          <w:bottom w:w="28" w:type="dxa"/>
          <w:right w:w="28" w:type="dxa"/>
        </w:tblCellMar>
      </w:tblPr>
      <w:tblGrid>
        <w:gridCol w:w="2108"/>
        <w:gridCol w:w="1533"/>
        <w:gridCol w:w="1508"/>
        <w:gridCol w:w="196"/>
        <w:gridCol w:w="907"/>
        <w:gridCol w:w="109"/>
        <w:gridCol w:w="196"/>
        <w:gridCol w:w="997"/>
        <w:gridCol w:w="109"/>
        <w:gridCol w:w="196"/>
        <w:gridCol w:w="976"/>
        <w:gridCol w:w="109"/>
        <w:gridCol w:w="196"/>
        <w:gridCol w:w="907"/>
        <w:gridCol w:w="158"/>
      </w:tblGrid>
      <w:tr>
        <w:trPr/>
        <w:tc>
          <w:tcPr>
            <w:tcW w:w="2108"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Fiscal Year</w:t>
            </w:r>
          </w:p>
        </w:tc>
        <w:tc>
          <w:tcPr>
            <w:tcW w:w="1212"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2020</w:t>
            </w:r>
          </w:p>
        </w:tc>
        <w:tc>
          <w:tcPr>
            <w:tcW w:w="1302"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2021</w:t>
            </w:r>
          </w:p>
        </w:tc>
        <w:tc>
          <w:tcPr>
            <w:tcW w:w="1281"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c>
          <w:tcPr>
            <w:tcW w:w="1261"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5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SCT Total</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6,276,605 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17,660,600 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8,594,799 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8,391,649 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Actuarial Present Value of Pension Plans Reported in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Service Cost of Pension in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Prior Service Cost of Pension in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Grant Date Fair Value of Stock Awards Granted in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(3,593,204)</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(14,635,168)</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(5,103,737)</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(5,665,871)</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at Fiscal Year-End of Outstanding Unvested Stock Awards Granted in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6,223,671 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30,020,871 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8,174,053 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4,131,113 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Fair Value of Outstanding Unvested Stock Awards Granted in Prior Fiscal Years</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2,694,702 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13,368,813 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10,303,770 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(3,668,762)</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at Vesting of Stock Awards Granted in Fiscal Year That Vested During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Fair Value as of Vesting Date of Stock Awards Granted in Prior Fiscal Years For Which Applicable Vesting Conditions Were Satisfied During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(1,708,241)</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722,191 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(1,155,818)</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1,474,944 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as of Prior Fiscal Year-End of Stock Awards Granted in Prior Fiscal Years That Failed to Meet Applicable Vesting Conditions During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Dividends Accrued During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Compensation Actually Paid</w:t>
            </w:r>
          </w:p>
        </w:tc>
        <w:tc>
          <w:tcPr>
            <w:tcW w:w="19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9,893,532</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47,137,307</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20,813,067</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4,663,073</w:t>
            </w:r>
            <w:r>
              <w:rPr>
                <w:color w:val="000000"/>
              </w:rPr>
              <w:t> </w:t>
            </w:r>
          </w:p>
        </w:tc>
        <w:tc>
          <w:tcPr>
            <w:tcW w:w="15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60"/>
        <w:jc w:val="both"/>
        <w:rPr>
          <w:rFonts w:ascii="Arial;sans-serif" w:hAnsi="Arial;sans-serif"/>
          <w:b w:val="false"/>
          <w:color w:val="000000"/>
          <w:sz w:val="18"/>
          <w:u w:val="single"/>
        </w:rPr>
      </w:pPr>
      <w:r>
        <w:rPr>
          <w:rFonts w:ascii="Arial;sans-serif" w:hAnsi="Arial;sans-serif"/>
          <w:b w:val="false"/>
          <w:color w:val="000000"/>
          <w:sz w:val="18"/>
          <w:u w:val="single"/>
        </w:rPr>
        <w:t>Non-PEO NEO Average SCT Total to Average CAP Reconciliation</w:t>
      </w:r>
    </w:p>
    <w:tbl>
      <w:tblPr>
        <w:tblW w:w="10205" w:type="dxa"/>
        <w:jc w:val="left"/>
        <w:tblInd w:w="0" w:type="dxa"/>
        <w:tblLayout w:type="fixed"/>
        <w:tblCellMar>
          <w:top w:w="28" w:type="dxa"/>
          <w:left w:w="28" w:type="dxa"/>
          <w:bottom w:w="28" w:type="dxa"/>
          <w:right w:w="28" w:type="dxa"/>
        </w:tblCellMar>
      </w:tblPr>
      <w:tblGrid>
        <w:gridCol w:w="2196"/>
        <w:gridCol w:w="1548"/>
        <w:gridCol w:w="1561"/>
        <w:gridCol w:w="196"/>
        <w:gridCol w:w="908"/>
        <w:gridCol w:w="109"/>
        <w:gridCol w:w="196"/>
        <w:gridCol w:w="908"/>
        <w:gridCol w:w="109"/>
        <w:gridCol w:w="196"/>
        <w:gridCol w:w="908"/>
        <w:gridCol w:w="109"/>
        <w:gridCol w:w="196"/>
        <w:gridCol w:w="908"/>
        <w:gridCol w:w="157"/>
      </w:tblGrid>
      <w:tr>
        <w:trPr/>
        <w:tc>
          <w:tcPr>
            <w:tcW w:w="219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6"/>
              </w:rPr>
            </w:pPr>
            <w:r>
              <w:rPr>
                <w:rFonts w:ascii="Arial;sans-serif" w:hAnsi="Arial;sans-serif"/>
                <w:b/>
                <w:color w:val="FFFFFF"/>
                <w:sz w:val="16"/>
              </w:rPr>
              <w:t>Fiscal Year</w:t>
            </w:r>
          </w:p>
        </w:tc>
        <w:tc>
          <w:tcPr>
            <w:tcW w:w="1213"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2020</w:t>
            </w:r>
          </w:p>
        </w:tc>
        <w:tc>
          <w:tcPr>
            <w:tcW w:w="1213"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2021</w:t>
            </w:r>
          </w:p>
        </w:tc>
        <w:tc>
          <w:tcPr>
            <w:tcW w:w="1213"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c>
          <w:tcPr>
            <w:tcW w:w="1261"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r>
      <w:tr>
        <w:trPr/>
        <w:tc>
          <w:tcPr>
            <w:tcW w:w="5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Average SCT Total</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2,009,027 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4,713,100 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2,444,495 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2,472,305 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Actuarial Present Value of Pension Plans Reported in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Service Cost of Pension in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Prior Service Cost of Pension in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Grant Date Fair Value of Stock Awards Granted in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(1,212,320)</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(3,314,083)</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(1,356,246)</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(1,491,647)</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at Fiscal Year-End of Outstanding Unvested Stock Awards Granted in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2,148,971 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5,205,205 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1,831,987 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1,066,149 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Fair Value of Outstanding Unvested Stock Awards Granted in Prior Fiscal Years</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197,467 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1,491,613 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1,623,529 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(633,986)</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at Vesting of Stock Awards Granted in Fiscal Year That Vested During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147,770 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208,160 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Change in Fair Value as of Vesting Date of Stock Awards Granted in Prior Fiscal Years For Which Applicable Vesting Conditions Were Satisfied During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(118,969)</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302,869 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(250,726)</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207,028 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Fair Value as of Prior Fiscal Year-End of Stock Awards Granted in Prior Fiscal Years That Failed to Meet Applicable Vesting Conditions During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Dividends Accrued During Fiscal Year</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Average Compensation Actually Paid</w:t>
            </w:r>
          </w:p>
        </w:tc>
        <w:tc>
          <w:tcPr>
            <w:tcW w:w="19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3,024,177</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8,546,475</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4,501,198</w:t>
            </w:r>
            <w:r>
              <w:rPr>
                <w:color w:val="000000"/>
              </w:rPr>
              <w:t>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1,619,849</w:t>
            </w:r>
            <w:r>
              <w:rPr>
                <w:color w:val="000000"/>
              </w:rPr>
              <w:t> </w:t>
            </w:r>
          </w:p>
        </w:tc>
        <w:tc>
          <w:tcPr>
            <w:tcW w:w="15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60"/>
        <w:jc w:val="both"/>
        <w:rPr>
          <w:rFonts w:ascii="Arial;sans-serif" w:hAnsi="Arial;sans-serif"/>
          <w:b w:val="false"/>
          <w:i/>
          <w:color w:val="000000"/>
          <w:sz w:val="16"/>
        </w:rPr>
      </w:pPr>
      <w:r>
        <w:rPr>
          <w:rFonts w:ascii="Arial;sans-serif" w:hAnsi="Arial;sans-serif"/>
          <w:b w:val="false"/>
          <w:i/>
          <w:color w:val="000000"/>
          <w:sz w:val="16"/>
        </w:rPr>
        <w:t>(i) Certain of Mr. Williams’ equity awards were modified in February 2021 as part of his Separation and Release Agreement, consistent with his employment agreement. The rules prescribed by the SEC did not specify how compensation actually paid should reflect the incremental fair value expense recorded in connection with the modification and reported in the “Stock Awards” column. As compensation actually paid is meant to track the value of an equity award over the course of its vesting period, we are not adding any additional fair value when calculating the “Change in Fair Value as of Vesting Date of Stock Awards Granted in Prior Fiscal Years For Which Applicable Vesting Conditions Were Satisfied During Fiscal Year” as we believe this methodology best reflects the value of the award to Mr. Williams.</w:t>
      </w:r>
    </w:p>
    <w:p>
      <w:pPr>
        <w:pStyle w:val="TextBody"/>
        <w:bidi w:val="0"/>
        <w:spacing w:before="0" w:after="60"/>
        <w:jc w:val="both"/>
        <w:rPr/>
      </w:pPr>
      <w:r>
        <w:rPr/>
      </w:r>
    </w:p>
    <w:p>
      <w:pPr>
        <w:pStyle w:val="TextBody"/>
        <w:bidi w:val="0"/>
        <w:spacing w:lineRule="auto" w:line="268" w:before="0" w:after="60"/>
        <w:jc w:val="both"/>
        <w:rPr>
          <w:rFonts w:ascii="Arial;sans-serif" w:hAnsi="Arial;sans-serif"/>
          <w:b w:val="false"/>
          <w:i/>
          <w:color w:val="000000"/>
          <w:sz w:val="16"/>
        </w:rPr>
      </w:pPr>
      <w:r>
        <w:rPr>
          <w:rFonts w:ascii="Arial;sans-serif" w:hAnsi="Arial;sans-serif"/>
          <w:b w:val="false"/>
          <w:i/>
          <w:color w:val="000000"/>
          <w:sz w:val="16"/>
        </w:rPr>
        <w:t xml:space="preserve">(3) The Peer Group for which Total Shareholder Return is provided in column (g) for each listed fiscal year consists of the constituent companies in the S&amp;P MidCap 400 Index listed as our compensation benchmarking peer group in the Compensation Discussion &amp; Analysis for fiscal year 2023. In 2023, Waste Connections, Inc. was added to the peer group and Duke Realty Corporation was removed as further described in the “Use of Market Data” section of our Compensation Discussion and Analysis section for fiscal year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154" name="Frame1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134</w:t>
                      </w:r>
                    </w:p>
                  </w:txbxContent>
                </v:textbox>
                <w10:wrap type="none"/>
              </v:rect>
            </w:pict>
          </mc:Fallback>
        </mc:AlternateContent>
      </w:r>
    </w:p>
    <w:p>
      <w:pPr>
        <w:pStyle w:val="TextBody"/>
        <w:bidi w:val="0"/>
        <w:spacing w:before="0" w:after="60"/>
        <w:jc w:val="left"/>
        <w:rPr/>
      </w:pPr>
      <w:r>
        <w:rPr/>
      </w:r>
    </w:p>
    <w:p>
      <w:pPr>
        <w:pStyle w:val="TextBody"/>
        <w:bidi w:val="0"/>
        <w:spacing w:lineRule="auto" w:line="268" w:before="0" w:after="60"/>
        <w:jc w:val="both"/>
        <w:rPr>
          <w:rFonts w:ascii="Arial;sans-serif" w:hAnsi="Arial;sans-serif"/>
          <w:b w:val="false"/>
          <w:i/>
          <w:color w:val="000000"/>
          <w:sz w:val="16"/>
        </w:rPr>
      </w:pPr>
      <w:r>
        <w:rPr>
          <w:rFonts w:ascii="Arial;sans-serif" w:hAnsi="Arial;sans-serif"/>
          <w:b w:val="false"/>
          <w:i/>
          <w:color w:val="000000"/>
          <w:sz w:val="16"/>
        </w:rPr>
        <w:t xml:space="preserve">The table below compares the indexed TSR of the current and prior Peer Group. </w:t>
      </w:r>
    </w:p>
    <w:tbl>
      <w:tblPr>
        <w:tblW w:w="5281" w:type="dxa"/>
        <w:jc w:val="center"/>
        <w:tblInd w:w="0" w:type="dxa"/>
        <w:tblLayout w:type="fixed"/>
        <w:tblCellMar>
          <w:top w:w="28" w:type="dxa"/>
          <w:left w:w="28" w:type="dxa"/>
          <w:bottom w:w="28" w:type="dxa"/>
          <w:right w:w="28" w:type="dxa"/>
        </w:tblCellMar>
      </w:tblPr>
      <w:tblGrid>
        <w:gridCol w:w="173"/>
        <w:gridCol w:w="152"/>
        <w:gridCol w:w="156"/>
        <w:gridCol w:w="759"/>
        <w:gridCol w:w="759"/>
        <w:gridCol w:w="762"/>
        <w:gridCol w:w="738"/>
        <w:gridCol w:w="738"/>
        <w:gridCol w:w="1044"/>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Year</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Peer Group used in prior year</w:t>
            </w:r>
          </w:p>
        </w:tc>
        <w:tc>
          <w:tcPr>
            <w:tcW w:w="25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Peer Group used in current year</w:t>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2023</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$192</w:t>
            </w:r>
          </w:p>
        </w:tc>
        <w:tc>
          <w:tcPr>
            <w:tcW w:w="25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$199</w:t>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2022</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$149</w:t>
            </w:r>
          </w:p>
        </w:tc>
        <w:tc>
          <w:tcPr>
            <w:tcW w:w="25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$152</w:t>
            </w:r>
          </w:p>
        </w:tc>
      </w:tr>
      <w:tr>
        <w:trPr/>
        <w:tc>
          <w:tcPr>
            <w:tcW w:w="4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2021</w:t>
            </w:r>
          </w:p>
        </w:tc>
        <w:tc>
          <w:tcPr>
            <w:tcW w:w="22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$161</w:t>
            </w:r>
          </w:p>
        </w:tc>
        <w:tc>
          <w:tcPr>
            <w:tcW w:w="252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$166</w:t>
            </w:r>
          </w:p>
        </w:tc>
      </w:tr>
      <w:tr>
        <w:trPr/>
        <w:tc>
          <w:tcPr>
            <w:tcW w:w="4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2020</w:t>
            </w:r>
          </w:p>
        </w:tc>
        <w:tc>
          <w:tcPr>
            <w:tcW w:w="22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$115</w:t>
            </w:r>
          </w:p>
        </w:tc>
        <w:tc>
          <w:tcPr>
            <w:tcW w:w="252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$115</w:t>
            </w:r>
          </w:p>
        </w:tc>
      </w:tr>
    </w:tbl>
    <w:p>
      <w:pPr>
        <w:pStyle w:val="TextBody"/>
        <w:bidi w:val="0"/>
        <w:spacing w:lineRule="auto" w:line="276" w:before="0" w:after="240"/>
        <w:jc w:val="both"/>
        <w:rPr>
          <w:rFonts w:ascii="Arial;sans-serif" w:hAnsi="Arial;sans-serif"/>
          <w:b w:val="false"/>
          <w:i/>
          <w:color w:val="000000"/>
          <w:sz w:val="16"/>
        </w:rPr>
      </w:pPr>
      <w:r>
        <w:rPr>
          <w:rFonts w:ascii="Arial;sans-serif" w:hAnsi="Arial;sans-serif"/>
          <w:b w:val="false"/>
          <w:i/>
          <w:color w:val="000000"/>
          <w:sz w:val="16"/>
        </w:rPr>
        <w:t>(4) Adjusted EBITDA is a non-GAAP financial measure and represents Adjusted EBITDA from continuing and discontinued operations at budgeted foreign exchange rates. For a discussion of our use of non-GAAP financial measures, please see the “Reconciliation of Non-GAAP Financial Measures” section in Item 7 of our Annual Report on Form 10-K for the fiscal year ended December 31, 2023.</w:t>
      </w:r>
    </w:p>
    <w:p>
      <w:pPr>
        <w:pStyle w:val="TextBody"/>
        <w:bidi w:val="0"/>
        <w:spacing w:lineRule="auto" w:line="345" w:before="0" w:after="60"/>
        <w:jc w:val="both"/>
        <w:rPr>
          <w:rFonts w:ascii="Arial;sans-serif" w:hAnsi="Arial;sans-serif"/>
          <w:b/>
          <w:color w:val="000000"/>
          <w:sz w:val="18"/>
        </w:rPr>
      </w:pPr>
      <w:r>
        <w:rPr>
          <w:rFonts w:ascii="Arial;sans-serif" w:hAnsi="Arial;sans-serif"/>
          <w:b/>
          <w:color w:val="000000"/>
          <w:sz w:val="18"/>
        </w:rPr>
        <w:t>CHARTS OF CAP VERSUS PERFORMANCE METRICS</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chart below illustrates the relationship between the PEO and average Non-PEO CAP amounts and the Company’s and Peer Group’s TSR during the period 2020-2023.</w:t>
      </w:r>
    </w:p>
    <w:p>
      <w:pPr>
        <w:pStyle w:val="TextBody"/>
        <w:bidi w:val="0"/>
        <w:spacing w:before="0" w:after="240"/>
        <w:jc w:val="both"/>
        <w:rPr/>
      </w:pPr>
      <w:r>
        <w:rPr/>
        <w:drawing>
          <wp:inline distT="0" distB="0" distL="0" distR="0">
            <wp:extent cx="6400800" cy="3124200"/>
            <wp:effectExtent l="0" t="0" r="0" b="0"/>
            <wp:docPr id="15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21" descr=""/>
                    <pic:cNvPicPr>
                      <a:picLocks noChangeAspect="1" noChangeArrowheads="1"/>
                    </pic:cNvPicPr>
                  </pic:nvPicPr>
                  <pic:blipFill>
                    <a:blip r:embed="rId22"/>
                    <a:stretch>
                      <a:fillRect/>
                    </a:stretch>
                  </pic:blipFill>
                  <pic:spPr bwMode="auto">
                    <a:xfrm>
                      <a:off x="0" y="0"/>
                      <a:ext cx="6400800" cy="31242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6840"/>
                <wp:effectExtent l="0" t="0" r="0" b="0"/>
                <wp:wrapNone/>
                <wp:docPr id="156" name="Frame1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135</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charts below illustrate the relationship between the PEO and Non-PEO CAP amounts and the Company’s Net Income and Adjusted EBITDA during the period 2020-2023.</w:t>
      </w:r>
    </w:p>
    <w:p>
      <w:pPr>
        <w:pStyle w:val="TextBody"/>
        <w:bidi w:val="0"/>
        <w:spacing w:before="0" w:after="240"/>
        <w:jc w:val="both"/>
        <w:rPr/>
      </w:pPr>
      <w:r>
        <w:rPr/>
        <w:drawing>
          <wp:inline distT="0" distB="0" distL="0" distR="0">
            <wp:extent cx="6400800" cy="3133725"/>
            <wp:effectExtent l="0" t="0" r="0" b="0"/>
            <wp:docPr id="15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2" descr=""/>
                    <pic:cNvPicPr>
                      <a:picLocks noChangeAspect="1" noChangeArrowheads="1"/>
                    </pic:cNvPicPr>
                  </pic:nvPicPr>
                  <pic:blipFill>
                    <a:blip r:embed="rId23"/>
                    <a:stretch>
                      <a:fillRect/>
                    </a:stretch>
                  </pic:blipFill>
                  <pic:spPr bwMode="auto">
                    <a:xfrm>
                      <a:off x="0" y="0"/>
                      <a:ext cx="6400800" cy="3133725"/>
                    </a:xfrm>
                    <a:prstGeom prst="rect">
                      <a:avLst/>
                    </a:prstGeom>
                  </pic:spPr>
                </pic:pic>
              </a:graphicData>
            </a:graphic>
          </wp:inline>
        </w:drawing>
      </w:r>
    </w:p>
    <w:p>
      <w:pPr>
        <w:pStyle w:val="TextBody"/>
        <w:bidi w:val="0"/>
        <w:spacing w:lineRule="auto" w:line="345" w:before="0" w:after="60"/>
        <w:jc w:val="both"/>
        <w:rPr/>
      </w:pPr>
      <w:r>
        <w:rPr/>
        <w:drawing>
          <wp:inline distT="0" distB="0" distL="0" distR="0">
            <wp:extent cx="6400800" cy="3133725"/>
            <wp:effectExtent l="0" t="0" r="0" b="0"/>
            <wp:docPr id="15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3" descr=""/>
                    <pic:cNvPicPr>
                      <a:picLocks noChangeAspect="1" noChangeArrowheads="1"/>
                    </pic:cNvPicPr>
                  </pic:nvPicPr>
                  <pic:blipFill>
                    <a:blip r:embed="rId24"/>
                    <a:stretch>
                      <a:fillRect/>
                    </a:stretch>
                  </pic:blipFill>
                  <pic:spPr bwMode="auto">
                    <a:xfrm>
                      <a:off x="0" y="0"/>
                      <a:ext cx="6400800" cy="3133725"/>
                    </a:xfrm>
                    <a:prstGeom prst="rect">
                      <a:avLst/>
                    </a:prstGeom>
                  </pic:spPr>
                </pic:pic>
              </a:graphicData>
            </a:graphic>
          </wp:inline>
        </w:drawing>
      </w:r>
      <w:r>
        <w:rPr>
          <w:rFonts w:ascii="Arial;sans-serif" w:hAnsi="Arial;sans-serif"/>
          <w:b w:val="false"/>
          <w:color w:val="000000"/>
          <w:sz w:val="18"/>
        </w:rPr>
        <w:t>TABULAR LIST OF MOST IMPORTANT PERFORMANCE MEASURES</w:t>
      </w:r>
    </w:p>
    <w:p>
      <w:pPr>
        <w:pStyle w:val="TextBody"/>
        <w:bidi w:val="0"/>
        <w:spacing w:lineRule="auto" w:line="240" w:before="0" w:after="60"/>
        <w:jc w:val="both"/>
        <w:rPr>
          <w:rFonts w:ascii="Arial;sans-serif" w:hAnsi="Arial;sans-serif"/>
          <w:b w:val="false"/>
          <w:color w:val="000000"/>
          <w:sz w:val="18"/>
        </w:rPr>
      </w:pPr>
      <w:r>
        <w:rPr>
          <w:rFonts w:ascii="Arial;sans-serif" w:hAnsi="Arial;sans-serif"/>
          <w:b w:val="false"/>
          <w:color w:val="000000"/>
          <w:sz w:val="18"/>
        </w:rPr>
        <w:t>The three items listed below represent the most important performance metrics we used to determine CAP for 2023 as further described in our Compensation Discussion and Analysis (CD&amp;A) within the sections titled “Short-Term Incentive Plan” and “2023 Long-Term Incentive Awards.”</w:t>
      </w:r>
    </w:p>
    <w:tbl>
      <w:tblPr>
        <w:tblW w:w="3164" w:type="dxa"/>
        <w:jc w:val="left"/>
        <w:tblInd w:w="0" w:type="dxa"/>
        <w:tblLayout w:type="fixed"/>
        <w:tblCellMar>
          <w:top w:w="28" w:type="dxa"/>
          <w:left w:w="28" w:type="dxa"/>
          <w:bottom w:w="28" w:type="dxa"/>
          <w:right w:w="28" w:type="dxa"/>
        </w:tblCellMar>
      </w:tblPr>
      <w:tblGrid>
        <w:gridCol w:w="1013"/>
        <w:gridCol w:w="889"/>
        <w:gridCol w:w="1262"/>
      </w:tblGrid>
      <w:tr>
        <w:trPr/>
        <w:tc>
          <w:tcPr>
            <w:tcW w:w="10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4" w:space="0" w:color="000000"/>
            </w:tcBorders>
            <w:shd w:fill="001F5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Most Important Financial Measures</w:t>
            </w:r>
          </w:p>
        </w:tc>
      </w:tr>
      <w:tr>
        <w:trPr/>
        <w:tc>
          <w:tcPr>
            <w:tcW w:w="31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43" w:after="283"/>
              <w:ind w:left="0" w:right="0" w:hanging="360"/>
              <w:jc w:val="left"/>
              <w:rPr/>
            </w:pPr>
            <w:r>
              <w:rPr>
                <w:color w:val="000000"/>
              </w:rPr>
              <w:t>•</w:t>
            </w:r>
            <w:r>
              <w:rPr>
                <w:rFonts w:ascii="Arial;sans-serif" w:hAnsi="Arial;sans-serif"/>
                <w:b w:val="false"/>
                <w:color w:val="000000"/>
                <w:sz w:val="18"/>
              </w:rPr>
              <w:t>Adjusted EBITDA</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Stock Price</w:t>
            </w:r>
          </w:p>
          <w:p>
            <w:pPr>
              <w:pStyle w:val="TableContents"/>
              <w:bidi w:val="0"/>
              <w:spacing w:lineRule="auto" w:line="288" w:before="0" w:after="30"/>
              <w:ind w:left="0" w:right="0" w:hanging="360"/>
              <w:jc w:val="left"/>
              <w:rPr/>
            </w:pPr>
            <w:r>
              <w:rPr>
                <w:color w:val="000000"/>
              </w:rPr>
              <w:t>•</w:t>
            </w:r>
            <w:r>
              <w:rPr>
                <w:rFonts w:ascii="Arial;sans-serif" w:hAnsi="Arial;sans-serif"/>
                <w:b w:val="false"/>
                <w:color w:val="000000"/>
                <w:sz w:val="18"/>
              </w:rPr>
              <w:t>Relative TSR</w:t>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6840"/>
                <wp:effectExtent l="0" t="0" r="0" b="0"/>
                <wp:wrapNone/>
                <wp:docPr id="159" name="Frame1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136</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hanging="2160"/>
        <w:jc w:val="left"/>
        <w:rPr>
          <w:rFonts w:ascii="Arial;sans-serif" w:hAnsi="Arial;sans-serif"/>
          <w:b/>
          <w:color w:val="000000"/>
          <w:sz w:val="44"/>
        </w:rPr>
      </w:pPr>
      <w:r>
        <w:rPr>
          <w:rFonts w:ascii="Arial;sans-serif" w:hAnsi="Arial;sans-serif"/>
          <w:b/>
          <w:color w:val="000000"/>
          <w:sz w:val="44"/>
        </w:rPr>
        <w:t>ITEM 12.    Security Ownership of Certain Beneficial Owners and Management and Related Stockholder Matters</w:t>
      </w:r>
    </w:p>
    <w:p>
      <w:pPr>
        <w:pStyle w:val="TextBody"/>
        <w:bidi w:val="0"/>
        <w:spacing w:lineRule="auto" w:line="288" w:before="0" w:after="60"/>
        <w:jc w:val="both"/>
        <w:rPr>
          <w:rFonts w:ascii="Arial;sans-serif" w:hAnsi="Arial;sans-serif"/>
          <w:b w:val="false"/>
          <w:color w:val="000000"/>
          <w:sz w:val="26"/>
        </w:rPr>
      </w:pPr>
      <w:r>
        <w:rPr>
          <w:rFonts w:ascii="Arial;sans-serif" w:hAnsi="Arial;sans-serif"/>
          <w:b w:val="false"/>
          <w:color w:val="000000"/>
          <w:sz w:val="26"/>
        </w:rPr>
        <w:t>Beneficial Ownership</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The following table sets forth information regarding the beneficial ownership of our Common Stock as of February 14, 2024, by each person who is the beneficial owner of more than 5% of our Common Stock; each of our NEOs and Directors; and all of our executive officers and Directors as a group. The beneficial ownership of our Common Stock is based on 189,970,639 shares of our Common Stock issued and outstanding as of February 14, 2024.</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Unless otherwise indicated, we believe that all persons named in the table below have sole voting and investment power with respect to all shares of Common Stock beneficially owned by them. To our knowledge, no shares of Common Stock beneficially owned by any executive officer or Director have been pledged as security.</w:t>
      </w:r>
    </w:p>
    <w:tbl>
      <w:tblPr>
        <w:tblW w:w="6722" w:type="dxa"/>
        <w:jc w:val="left"/>
        <w:tblInd w:w="0" w:type="dxa"/>
        <w:tblLayout w:type="fixed"/>
        <w:tblCellMar>
          <w:top w:w="28" w:type="dxa"/>
          <w:left w:w="28" w:type="dxa"/>
          <w:bottom w:w="28" w:type="dxa"/>
          <w:right w:w="28" w:type="dxa"/>
        </w:tblCellMar>
      </w:tblPr>
      <w:tblGrid>
        <w:gridCol w:w="1547"/>
        <w:gridCol w:w="1362"/>
        <w:gridCol w:w="1366"/>
        <w:gridCol w:w="554"/>
        <w:gridCol w:w="554"/>
        <w:gridCol w:w="556"/>
        <w:gridCol w:w="229"/>
        <w:gridCol w:w="229"/>
        <w:gridCol w:w="325"/>
      </w:tblGrid>
      <w:tr>
        <w:trPr/>
        <w:tc>
          <w:tcPr>
            <w:tcW w:w="15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6"/>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Common Stock</w:t>
            </w:r>
          </w:p>
        </w:tc>
      </w:tr>
      <w:tr>
        <w:trPr/>
        <w:tc>
          <w:tcPr>
            <w:tcW w:w="4275"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Name and Address of Beneficial Owner</w:t>
            </w:r>
          </w:p>
        </w:tc>
        <w:tc>
          <w:tcPr>
            <w:tcW w:w="166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Number of Shares</w:t>
            </w:r>
          </w:p>
        </w:tc>
        <w:tc>
          <w:tcPr>
            <w:tcW w:w="783" w:type="dxa"/>
            <w:gridSpan w:val="3"/>
            <w:tcBorders/>
            <w:shd w:fill="1D2758" w:val="clear"/>
            <w:tcMar>
              <w:top w:w="0" w:type="dxa"/>
              <w:left w:w="0" w:type="dxa"/>
              <w:bottom w:w="0" w:type="dxa"/>
              <w:right w:w="0" w:type="dxa"/>
            </w:tcMar>
            <w:vAlign w:val="center"/>
          </w:tcPr>
          <w:p>
            <w:pPr>
              <w:pStyle w:val="TableContents"/>
              <w:bidi w:val="0"/>
              <w:spacing w:lineRule="auto" w:line="240" w:before="53" w:after="30"/>
              <w:jc w:val="center"/>
              <w:rPr>
                <w:rFonts w:ascii="Arial;sans-serif" w:hAnsi="Arial;sans-serif"/>
                <w:b/>
                <w:color w:val="FFFFFF"/>
                <w:sz w:val="18"/>
              </w:rPr>
            </w:pPr>
            <w:r>
              <w:rPr>
                <w:rFonts w:ascii="Arial;sans-serif" w:hAnsi="Arial;sans-serif"/>
                <w:b/>
                <w:color w:val="FFFFFF"/>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Directors and Executive Officers</w:t>
            </w:r>
            <w:r>
              <w:rPr>
                <w:rFonts w:ascii="Arial;sans-serif" w:hAnsi="Arial;sans-serif"/>
                <w:b w:val="false"/>
                <w:color w:val="000000"/>
                <w:sz w:val="12"/>
              </w:rPr>
              <w:t>(1)</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Bradley L. Soultz</w:t>
            </w:r>
            <w:r>
              <w:rPr>
                <w:rFonts w:ascii="Arial;sans-serif" w:hAnsi="Arial;sans-serif"/>
                <w:b w:val="false"/>
                <w:color w:val="000000"/>
                <w:sz w:val="12"/>
              </w:rPr>
              <w:t>(2) (3)</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1,010,986</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Timothy D. Boswell</w:t>
            </w:r>
            <w:r>
              <w:rPr>
                <w:rFonts w:ascii="Arial;sans-serif" w:hAnsi="Arial;sans-serif"/>
                <w:b w:val="false"/>
                <w:color w:val="000000"/>
                <w:sz w:val="12"/>
              </w:rPr>
              <w:t>(2) (4)</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347,895</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Hezron T. Lopez</w:t>
            </w:r>
            <w:r>
              <w:rPr>
                <w:rFonts w:ascii="Arial;sans-serif" w:hAnsi="Arial;sans-serif"/>
                <w:b w:val="false"/>
                <w:color w:val="000000"/>
                <w:sz w:val="12"/>
              </w:rPr>
              <w:t>(2)</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30,147</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Arial;sans-serif" w:hAnsi="Arial;sans-serif"/>
                <w:b w:val="false"/>
                <w:color w:val="000000"/>
                <w:sz w:val="18"/>
              </w:rPr>
            </w:pPr>
            <w:r>
              <w:rPr>
                <w:rFonts w:ascii="Arial;sans-serif" w:hAnsi="Arial;sans-serif"/>
                <w:b w:val="false"/>
                <w:color w:val="000000"/>
                <w:sz w:val="18"/>
              </w:rPr>
              <w:t>Felicia K. Gorcyca</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Graeme Parkes</w:t>
            </w:r>
            <w:r>
              <w:rPr>
                <w:rFonts w:ascii="Arial;sans-serif" w:hAnsi="Arial;sans-serif"/>
                <w:b w:val="false"/>
                <w:color w:val="000000"/>
                <w:sz w:val="12"/>
              </w:rPr>
              <w:t>(2) (5)</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124,403</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Sally J. Shanks</w:t>
            </w:r>
            <w:r>
              <w:rPr>
                <w:rFonts w:ascii="Arial;sans-serif" w:hAnsi="Arial;sans-serif"/>
                <w:b w:val="false"/>
                <w:color w:val="000000"/>
                <w:sz w:val="12"/>
              </w:rPr>
              <w:t>(2)</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25,263</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Erik Olsson</w:t>
            </w:r>
            <w:r>
              <w:rPr>
                <w:rFonts w:ascii="Arial;sans-serif" w:hAnsi="Arial;sans-serif"/>
                <w:b w:val="false"/>
                <w:color w:val="000000"/>
                <w:sz w:val="12"/>
              </w:rPr>
              <w:t>(6)</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1,324,840</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Gerard E. Holthaus</w:t>
            </w:r>
            <w:r>
              <w:rPr>
                <w:rFonts w:ascii="Arial;sans-serif" w:hAnsi="Arial;sans-serif"/>
                <w:b w:val="false"/>
                <w:color w:val="000000"/>
                <w:sz w:val="12"/>
              </w:rPr>
              <w:t>(7)</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402,294</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Mark S. Bartlett</w:t>
            </w:r>
            <w:r>
              <w:rPr>
                <w:rFonts w:ascii="Arial;sans-serif" w:hAnsi="Arial;sans-serif"/>
                <w:b w:val="false"/>
                <w:color w:val="000000"/>
                <w:sz w:val="12"/>
              </w:rPr>
              <w:t>(7)</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146,077</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Jeff Sagansky</w:t>
            </w:r>
            <w:r>
              <w:rPr>
                <w:rFonts w:ascii="Arial;sans-serif" w:hAnsi="Arial;sans-serif"/>
                <w:b w:val="false"/>
                <w:color w:val="000000"/>
                <w:sz w:val="12"/>
              </w:rPr>
              <w:t>(7)</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2,495,905</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Michael W. Upchurch</w:t>
            </w:r>
            <w:r>
              <w:rPr>
                <w:rFonts w:ascii="Arial;sans-serif" w:hAnsi="Arial;sans-serif"/>
                <w:b w:val="false"/>
                <w:color w:val="000000"/>
                <w:sz w:val="12"/>
              </w:rPr>
              <w:t>(7)</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36,541</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Rebecca L. Owen</w:t>
            </w:r>
            <w:r>
              <w:rPr>
                <w:rFonts w:ascii="Arial;sans-serif" w:hAnsi="Arial;sans-serif"/>
                <w:b w:val="false"/>
                <w:color w:val="000000"/>
                <w:sz w:val="12"/>
              </w:rPr>
              <w:t>(7)</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31,147</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Erika T. Davis</w:t>
            </w:r>
            <w:r>
              <w:rPr>
                <w:rFonts w:ascii="Arial;sans-serif" w:hAnsi="Arial;sans-serif"/>
                <w:b w:val="false"/>
                <w:color w:val="000000"/>
                <w:sz w:val="12"/>
              </w:rPr>
              <w:t>(7)</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9,836</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Arial;sans-serif" w:hAnsi="Arial;sans-serif"/>
                <w:b w:val="false"/>
                <w:color w:val="000000"/>
                <w:sz w:val="18"/>
              </w:rPr>
              <w:t>Natalia Johnson</w:t>
            </w:r>
            <w:r>
              <w:rPr>
                <w:rFonts w:ascii="Arial;sans-serif" w:hAnsi="Arial;sans-serif"/>
                <w:b w:val="false"/>
                <w:color w:val="000000"/>
                <w:sz w:val="12"/>
              </w:rPr>
              <w:t>(7)</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3,463</w:t>
            </w:r>
          </w:p>
        </w:tc>
        <w:tc>
          <w:tcPr>
            <w:tcW w:w="783" w:type="dxa"/>
            <w:gridSpan w:val="3"/>
            <w:tcBorders/>
            <w:tcMar>
              <w:top w:w="0" w:type="dxa"/>
              <w:left w:w="0" w:type="dxa"/>
              <w:bottom w:w="0" w:type="dxa"/>
              <w:right w:w="0" w:type="dxa"/>
            </w:tcMar>
            <w:vAlign w:val="center"/>
          </w:tcPr>
          <w:p>
            <w:pPr>
              <w:pStyle w:val="TableContents"/>
              <w:bidi w:val="0"/>
              <w:spacing w:lineRule="auto" w:line="240" w:before="53" w:after="30"/>
              <w:jc w:val="right"/>
              <w:rPr>
                <w:rFonts w:ascii="Arial;sans-serif" w:hAnsi="Arial;sans-serif"/>
                <w:b w:val="false"/>
                <w:color w:val="000000"/>
                <w:sz w:val="18"/>
              </w:rPr>
            </w:pPr>
            <w:r>
              <w:rPr>
                <w:rFonts w:ascii="Arial;sans-serif" w:hAnsi="Arial;sans-serif"/>
                <w:b w:val="false"/>
                <w:color w:val="000000"/>
                <w:sz w:val="18"/>
              </w:rPr>
              <w:t>*</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All executive officers and directors as a group</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5,988,797</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Arial;sans-serif" w:hAnsi="Arial;sans-serif"/>
                <w:b/>
                <w:i/>
                <w:color w:val="000000"/>
                <w:sz w:val="18"/>
              </w:rPr>
              <w:t>Five Percent Holders</w:t>
            </w:r>
            <w:r>
              <w:rPr>
                <w:rFonts w:ascii="Arial;sans-serif" w:hAnsi="Arial;sans-serif"/>
                <w:b/>
                <w:i/>
                <w:color w:val="000000"/>
                <w:sz w:val="12"/>
              </w:rPr>
              <w:t>(8)</w:t>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Arial;sans-serif" w:hAnsi="Arial;sans-serif"/>
                <w:b w:val="false"/>
                <w:color w:val="000000"/>
                <w:sz w:val="18"/>
              </w:rPr>
              <w:t>The Vanguard Group, Inc.</w:t>
            </w:r>
            <w:r>
              <w:rPr>
                <w:rFonts w:ascii="Arial;sans-serif" w:hAnsi="Arial;sans-serif"/>
                <w:b w:val="false"/>
                <w:color w:val="000000"/>
                <w:sz w:val="12"/>
              </w:rPr>
              <w:t>(9)</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17,516,434</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Arial;sans-serif" w:hAnsi="Arial;sans-serif"/>
                <w:b w:val="false"/>
                <w:color w:val="000000"/>
                <w:sz w:val="18"/>
              </w:rPr>
              <w:t>Fidelity Management &amp; Research Company LLC</w:t>
            </w:r>
            <w:r>
              <w:rPr>
                <w:rFonts w:ascii="Arial;sans-serif" w:hAnsi="Arial;sans-serif"/>
                <w:b w:val="false"/>
                <w:color w:val="000000"/>
                <w:sz w:val="12"/>
              </w:rPr>
              <w:t>(10)</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11,860,827</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Arial;sans-serif" w:hAnsi="Arial;sans-serif"/>
                <w:b w:val="false"/>
                <w:color w:val="000000"/>
                <w:sz w:val="18"/>
              </w:rPr>
              <w:t>BlackRock, Inc.</w:t>
            </w:r>
            <w:r>
              <w:rPr>
                <w:rFonts w:ascii="Arial;sans-serif" w:hAnsi="Arial;sans-serif"/>
                <w:b w:val="false"/>
                <w:color w:val="000000"/>
                <w:sz w:val="12"/>
              </w:rPr>
              <w:t>(11)</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11,553,229</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Arial;sans-serif" w:hAnsi="Arial;sans-serif"/>
                <w:b w:val="false"/>
                <w:color w:val="000000"/>
                <w:sz w:val="18"/>
              </w:rPr>
              <w:t>T. Rowe Price Associates, Inc.</w:t>
            </w:r>
            <w:r>
              <w:rPr>
                <w:rFonts w:ascii="Arial;sans-serif" w:hAnsi="Arial;sans-serif"/>
                <w:b w:val="false"/>
                <w:color w:val="000000"/>
                <w:sz w:val="12"/>
              </w:rPr>
              <w:t xml:space="preserve">(12) </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11,220,134</w:t>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r>
    </w:tbl>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 xml:space="preserve">(*) Less than one percent </w:t>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(1) Beneficial ownership is determined in accordance with the rules of the SEC, which generally provide that a person has beneficial ownership of a security if he, she or it possesses sole or shared voting or investment power over that security, including options or warrants that are currently exercisable or exercisable within 60 days. Unless otherwise noted, the business address of each stockholder listed above is 4646 E. Van Buren Street, Suite 400, Phoenix, Arizona 85008.</w:t>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 xml:space="preserve">(2) Does not include any unvested stock options, Performance-Based RSUs or Time-Based RSUs granted under the Plan, all of which are subject to forfeiture. </w:t>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(3) Includes 530,601 shares held in an irrevocable trust of which Mr. Soultz is the sole trustee and 408,497 vested options held in a different irrevocable trust of which Mr. Soultz’s spouse is a co-trustee.</w:t>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(4) Includes 125,691 vested options.</w:t>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(5) Includes 75,042 vested options.</w:t>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(6) Includes 4,345 unvested restricted shares of our Common Stock that are subject to forfeiture, which were granted to Mr. Olsson in June 2023 as part of our annual non-executive director compensation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6840"/>
                <wp:effectExtent l="0" t="0" r="0" b="0"/>
                <wp:wrapNone/>
                <wp:docPr id="160" name="Frame1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137</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(7) Includes 3,523 unvested restricted shares of our Common Stock that are subject to forfeiture, which were granted to Mr. Holthaus, Mr. Bartlett, Mr. Sagansky, Ms. Owen, Ms. Davis and Mr. Upchurch in June 2023, and includes 3,463 unvested restricted shares of our Common Stock that are subject to forfeiture, which were granted to Ms. Johnson as part of our annual non-executive director compensation program.</w:t>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(8) Beneficial Ownership for stockholders with 5% or more ownership is based the most recently available 13G filings.</w:t>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(9) According to a Schedule 13G/A filed February 13, 2024, on behalf of The Vanguard Group. The Vanguard Group has beneficial ownership over the shares reported. The Vanguard Group has shared voting power with respect to 72,696 shares, and sole and shared dispositive power with respect to 17,236,886 shares and 279,548 shares, respectively. The business address of this stockholder is 100 Vanguard Blvd., Malvern, PA 19355.</w:t>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(10) According to a Schedule 13G/A filed February 9, 2024, on behalf of Fidelity Management &amp; Research Company. Fidelity Management &amp; Research Company has beneficial ownership over the shares reported. Fidelity Management &amp; Research Company has sole voting power with respect to 11,853,707 shares and sole dispositive power with respect to 11,860,827 shares. The business address of this stockholder is 245 Summer Street, Boston, Massachusetts 02210.</w:t>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(11) According to a Schedule 13G/A filed January 29, 2024, on behalf of BlackRock, Inc. BlackRock, Inc. has beneficial ownership over the shares reported. BlackRock, Inc. has sole voting power with respect to 10,726,632 shares and sole dispositive power with respect to 11,553,229 shares. The business address of this stockholder is 50 Hudson Yards, New York, NY 10001.</w:t>
      </w:r>
    </w:p>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(12) According to Schedule 13G filed February 14, 2014, on behalf of T. Rowe Price Associates, Inc. T. Rowe Price Associates, Inc. has beneficial ownership over the shares reported. T. Rowe Price Associates, Inc. has sole voting power with respect to 2,496,152 shares and sole dispositive power with respect to 11,211,516 shares. The business address of this stockholder is 100 E. Pratt Street, Baltimore, MD 21202.</w:t>
      </w:r>
    </w:p>
    <w:p>
      <w:pPr>
        <w:pStyle w:val="TextBody"/>
        <w:bidi w:val="0"/>
        <w:spacing w:before="60" w:after="60"/>
        <w:jc w:val="both"/>
        <w:rPr/>
      </w:pPr>
      <w:r>
        <w:rPr/>
      </w:r>
    </w:p>
    <w:p>
      <w:pPr>
        <w:pStyle w:val="TextBody"/>
        <w:bidi w:val="0"/>
        <w:spacing w:lineRule="auto" w:line="288" w:before="0" w:after="60"/>
        <w:jc w:val="both"/>
        <w:rPr>
          <w:rFonts w:ascii="Arial;sans-serif" w:hAnsi="Arial;sans-serif"/>
          <w:b w:val="false"/>
          <w:color w:val="000000"/>
          <w:sz w:val="26"/>
        </w:rPr>
      </w:pPr>
      <w:r>
        <w:rPr>
          <w:rFonts w:ascii="Arial;sans-serif" w:hAnsi="Arial;sans-serif"/>
          <w:b w:val="false"/>
          <w:color w:val="000000"/>
          <w:sz w:val="26"/>
        </w:rPr>
        <w:t>Securities Authorized for Issuance under Equity Compensation Plans</w:t>
      </w:r>
    </w:p>
    <w:p>
      <w:pPr>
        <w:pStyle w:val="TextBody"/>
        <w:bidi w:val="0"/>
        <w:spacing w:lineRule="auto" w:line="288" w:before="0" w:after="60"/>
        <w:jc w:val="both"/>
        <w:rPr/>
      </w:pPr>
      <w:r>
        <w:rPr>
          <w:rFonts w:ascii="Arial;sans-serif" w:hAnsi="Arial;sans-serif"/>
          <w:b w:val="false"/>
          <w:color w:val="000000"/>
          <w:sz w:val="18"/>
          <w:shd w:fill="FFFFFF" w:val="clear"/>
        </w:rPr>
        <w:t>On February 5, 2018, we filed a registration statement on Form S-8, registering 4,000,000 shares of Common Stock, relati</w:t>
      </w:r>
      <w:r>
        <w:rPr>
          <w:rFonts w:ascii="Arial;sans-serif" w:hAnsi="Arial;sans-serif"/>
          <w:b w:val="false"/>
          <w:color w:val="000000"/>
          <w:sz w:val="18"/>
        </w:rPr>
        <w:t>ng to awards to be undertaken in the future, with such vesting conditions, as applicable, to be determined in accordance with the WillScot Corporation 2017 Incentive Award Plan (the "2017 Incentive Award Plan"). On July 2, 2020, we filed a registration statement on Form S-8 registering 6,488,988 shares of Common Stock (including 1,488,988 shares that remained available under the 2017 Incentive Award Plan), relating to awards to be undertaken in the</w:t>
      </w:r>
      <w:r>
        <w:rPr>
          <w:color w:val="000000"/>
          <w:shd w:fill="FFFFFF" w:val="clear"/>
        </w:rPr>
        <w:t xml:space="preserve"> </w:t>
      </w:r>
      <w:r>
        <w:rPr>
          <w:rFonts w:ascii="Arial;sans-serif" w:hAnsi="Arial;sans-serif"/>
          <w:b w:val="false"/>
          <w:color w:val="000000"/>
          <w:sz w:val="18"/>
          <w:shd w:fill="FFFFFF" w:val="clear"/>
        </w:rPr>
        <w:t xml:space="preserve">future, with such vesting conditions, as applicable, to be determined in accordance with the WillScot Mobile Mini 2020 Incentive Award Plan (the "2020 Incentive Plan"). The following types of awards can be issued under the 2020 Incentive Plan: </w:t>
      </w:r>
      <w:r>
        <w:rPr>
          <w:rFonts w:ascii="Arial;sans-serif" w:hAnsi="Arial;sans-serif"/>
          <w:b w:val="false"/>
          <w:color w:val="000000"/>
          <w:sz w:val="18"/>
        </w:rPr>
        <w:t xml:space="preserve">non-qualified stock options, incentive stock options, stock appreciation rights, restricted stock awards, restricted stock units, performance compensation awards and stock bonus awards. </w:t>
      </w:r>
      <w:r>
        <w:rPr>
          <w:rFonts w:ascii="Arial;sans-serif" w:hAnsi="Arial;sans-serif"/>
          <w:b w:val="false"/>
          <w:color w:val="000000"/>
          <w:sz w:val="18"/>
          <w:shd w:fill="FFFFFF" w:val="clear"/>
        </w:rPr>
        <w:t>See Note 16 in Part II, Item 8 herein for additional information.</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The following table sets forth information as of December 31, 2023 with respect to compensation plans under which equity securities are authorized for issuance: </w:t>
      </w:r>
    </w:p>
    <w:tbl>
      <w:tblPr>
        <w:tblW w:w="10205" w:type="dxa"/>
        <w:jc w:val="left"/>
        <w:tblInd w:w="0" w:type="dxa"/>
        <w:tblLayout w:type="fixed"/>
        <w:tblCellMar>
          <w:top w:w="28" w:type="dxa"/>
          <w:left w:w="28" w:type="dxa"/>
          <w:bottom w:w="28" w:type="dxa"/>
          <w:right w:w="28" w:type="dxa"/>
        </w:tblCellMar>
      </w:tblPr>
      <w:tblGrid>
        <w:gridCol w:w="701"/>
        <w:gridCol w:w="614"/>
        <w:gridCol w:w="569"/>
        <w:gridCol w:w="919"/>
        <w:gridCol w:w="705"/>
        <w:gridCol w:w="707"/>
        <w:gridCol w:w="109"/>
        <w:gridCol w:w="109"/>
        <w:gridCol w:w="109"/>
        <w:gridCol w:w="516"/>
        <w:gridCol w:w="1509"/>
        <w:gridCol w:w="268"/>
        <w:gridCol w:w="109"/>
        <w:gridCol w:w="109"/>
        <w:gridCol w:w="109"/>
        <w:gridCol w:w="1020"/>
        <w:gridCol w:w="835"/>
        <w:gridCol w:w="1188"/>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1884"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Plan Category</w:t>
            </w:r>
          </w:p>
        </w:tc>
        <w:tc>
          <w:tcPr>
            <w:tcW w:w="2331"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Number of securities to be issued upon exercise of outstanding options, warrants and rights</w:t>
            </w:r>
          </w:p>
          <w:p>
            <w:pPr>
              <w:pStyle w:val="TableContents"/>
              <w:bidi w:val="0"/>
              <w:spacing w:before="0" w:after="0"/>
              <w:jc w:val="center"/>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Weighted-average exercise price of outstanding options, warrants, and rights</w:t>
            </w:r>
          </w:p>
          <w:p>
            <w:pPr>
              <w:pStyle w:val="TableContents"/>
              <w:bidi w:val="0"/>
              <w:spacing w:before="0" w:after="0"/>
              <w:jc w:val="center"/>
              <w:rPr/>
            </w:pPr>
            <w:r>
              <w:rPr/>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Number of securities remaining available for issuance under equity compensation plans (excluding securities reflected the first column)</w:t>
            </w:r>
          </w:p>
        </w:tc>
      </w:tr>
      <w:tr>
        <w:trPr/>
        <w:tc>
          <w:tcPr>
            <w:tcW w:w="1884" w:type="dxa"/>
            <w:gridSpan w:val="3"/>
            <w:tcBorders/>
            <w:shd w:fill="DDDDDD"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compensation plans approved by security holders</w:t>
            </w:r>
          </w:p>
        </w:tc>
        <w:tc>
          <w:tcPr>
            <w:tcW w:w="1624"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3,630,394 </w:t>
            </w:r>
          </w:p>
        </w:tc>
        <w:tc>
          <w:tcPr>
            <w:tcW w:w="70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516" w:type="dxa"/>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9" w:type="dxa"/>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w:t>
            </w:r>
          </w:p>
        </w:tc>
        <w:tc>
          <w:tcPr>
            <w:tcW w:w="1855" w:type="dxa"/>
            <w:gridSpan w:val="2"/>
            <w:tcBorders/>
            <w:shd w:fill="DDDDDD"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3,197,415 </w:t>
            </w:r>
          </w:p>
        </w:tc>
        <w:tc>
          <w:tcPr>
            <w:tcW w:w="1188"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compensation plans not approved by security holders</w:t>
            </w:r>
          </w:p>
        </w:tc>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N/A</w:t>
            </w:r>
          </w:p>
        </w:tc>
      </w:tr>
      <w:tr>
        <w:trPr/>
        <w:tc>
          <w:tcPr>
            <w:tcW w:w="1884" w:type="dxa"/>
            <w:gridSpan w:val="3"/>
            <w:tcBorders/>
            <w:shd w:fill="DDDDDD"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624"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3,630,394 </w:t>
            </w:r>
          </w:p>
        </w:tc>
        <w:tc>
          <w:tcPr>
            <w:tcW w:w="707"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9"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26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2"/>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3,197,415 </w:t>
            </w:r>
          </w:p>
        </w:tc>
        <w:tc>
          <w:tcPr>
            <w:tcW w:w="1188" w:type="dxa"/>
            <w:tcBorders>
              <w:top w:val="single" w:sz="8" w:space="0" w:color="000000"/>
              <w:bottom w:val="double" w:sz="8" w:space="0" w:color="000000"/>
            </w:tcBorders>
            <w:shd w:fill="DDDDD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Arial;sans-serif" w:hAnsi="Arial;sans-serif"/>
          <w:b w:val="false"/>
          <w:i/>
          <w:color w:val="000000"/>
          <w:sz w:val="16"/>
        </w:rPr>
      </w:pPr>
      <w:r>
        <w:rPr>
          <w:rFonts w:ascii="Arial;sans-serif" w:hAnsi="Arial;sans-serif"/>
          <w:b w:val="false"/>
          <w:i/>
          <w:color w:val="000000"/>
          <w:sz w:val="16"/>
        </w:rPr>
        <w:t xml:space="preserve">(1) Includes (a) 0.5 million stock options, (b) 0.6 million restricted stock units and 2.4 million performance-based restricted stock units based on relative total stockholder return ("TSR") attainment levels at December 31, 2023, and (c) 0.03 million restricted stock awards issued to non-employee directors. </w:t>
      </w:r>
    </w:p>
    <w:p>
      <w:pPr>
        <w:pStyle w:val="TextBody"/>
        <w:bidi w:val="0"/>
        <w:spacing w:lineRule="auto" w:line="288" w:before="0" w:after="240"/>
        <w:jc w:val="both"/>
        <w:rPr>
          <w:rFonts w:ascii="Arial;sans-serif" w:hAnsi="Arial;sans-serif"/>
          <w:b w:val="false"/>
          <w:i/>
          <w:color w:val="000000"/>
          <w:sz w:val="16"/>
        </w:rPr>
      </w:pPr>
      <w:r>
        <w:rPr>
          <w:rFonts w:ascii="Arial;sans-serif" w:hAnsi="Arial;sans-serif"/>
          <w:b w:val="false"/>
          <w:i/>
          <w:color w:val="000000"/>
          <w:sz w:val="16"/>
        </w:rPr>
        <w:t xml:space="preserve">(2) The weighted-average exercise price is reported for the outstanding stock options reported in the first column. There are no exercise prices for the restricted stock units, performance-based restricted stock units or restricted stock awards in the first column.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connection with the Merger, on July 2, 2020, we converted Mobile Mini's outstanding fully vested stock options to 7,361,516 WillScot Mobile Mini stock options using a conversion ratio of 2.405. As of December 31, 2023, 829,246 options were outstanding and exercisable; each option is exercisable for one share of Common Stock. The weighted average exercise price of the outstanding options was $12.86 as of December 31, 2023. These options are not included in the table above as they were not issued under the incentive award plans.</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16840"/>
                <wp:effectExtent l="0" t="0" r="0" b="0"/>
                <wp:wrapNone/>
                <wp:docPr id="161" name="Frame1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138</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ind w:left="0" w:right="0" w:hanging="2160"/>
        <w:jc w:val="left"/>
        <w:rPr>
          <w:rFonts w:ascii="Arial;sans-serif" w:hAnsi="Arial;sans-serif"/>
          <w:b/>
          <w:color w:val="000000"/>
          <w:sz w:val="44"/>
        </w:rPr>
      </w:pPr>
      <w:r>
        <w:rPr>
          <w:rFonts w:ascii="Arial;sans-serif" w:hAnsi="Arial;sans-serif"/>
          <w:b/>
          <w:color w:val="000000"/>
          <w:sz w:val="44"/>
        </w:rPr>
        <w:t>ITEM 13.    Certain Relationships and Related Transactions, and Director Independence</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Director Independence</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Nasdaq listing rules require a majority of our Board to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Our Board annually makes an affirmative determination regarding the independence of each director based upon the recommendation of the Nominating and Corporate Governance Committee and pursuant to the standards in our Corporate Governance Guidelines. Applying these standards, the Board has affirmatively determined that Messrs. Bartlett, Holthaus, Olsson, Sagansky, and Upchurch, and Mmes. Davis, Johnson, and Owen are “independent directors”. The Board has determined that Mr. Soultz is not an “independent director” due to his role as CEO of the Company. The Board determined that Erik Olsson (Chairman of the Board) is an independent director under applicable NASDAQ and SEC rules on the basis that his prior employment was with Mobile Mini prior to our merger, and that employment ceased three and one-half years ago. Furthermore, the size, scale and scope of the Company’s business have significantly changed since Mr. Olsson led Mobile Mini. Additionally, the board membership of the Company and the executive leadership’s members and structure is such that Mr. Olsson is not in a position to create a conflict of interest among himself and prior Mobile Mini leadership and the present management of the Company.</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In making these determinations, the Board considered the following factors, among others: (i) the ownership positions and contractual arrangements of our Board members and their affiliates with our Company; (ii) the corporate governance and other policies adopted by the Board to help avoid conflicts and potential conflicts of interest; (iii) the contractual arrangements and annual payments between our Company and other companies upon which our directors also serve as directors; and, (iv) the alignment of the long-term interests of the stockholders that appointed our Board members with the long-term interests of our other stockholders.</w:t>
      </w:r>
    </w:p>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2160"/>
        <w:jc w:val="left"/>
        <w:rPr>
          <w:rFonts w:ascii="Arial;sans-serif" w:hAnsi="Arial;sans-serif"/>
          <w:b/>
          <w:color w:val="000000"/>
          <w:sz w:val="44"/>
        </w:rPr>
      </w:pPr>
      <w:r>
        <w:rPr>
          <w:rFonts w:ascii="Arial;sans-serif" w:hAnsi="Arial;sans-serif"/>
          <w:b/>
          <w:color w:val="000000"/>
          <w:sz w:val="44"/>
        </w:rPr>
        <w:t xml:space="preserve">ITEM 14.    Principal Accounting Fees and Services </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Audit Fees &amp; Approval Process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Audit Committee pre-approves all audit and non-audit services to be performed by the independent registered public accounting firm in compliance with the Sarbanes-Oxley Act and the SEC rules regarding auditor independence. These services may include audit services, audit-related services, tax services and all other services. Proposed services may either be pre-approved without consideration of specific case-by-case services by the Audit Committee or require the specific pre-approval of the Audit Committee. Unless a type of service has received general pre-approval, it will require specific pre-approval if it is to be provided by the Company’s independent registered public accounting firm, Ernst &amp; Young LLP (“EY”). Any proposed services exceeding pre-approved cost levels or budgeted amounts will also require specific pre-approval.</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Pre-approval fee levels or budgeted amounts for all services to be provided by EY are established annually by the Audit Committee. Any proposed services exceeding these levels or amounts require specific pre-approval by the Audit Committee. The Audit Committee may delegate either type of approval authority to one or more of its members. The member to whom such authority is delegated must report, for informational purposes only, any pre-approval decisions to the Audit Committee at its next scheduled meeting. The Audit Committee has delegated to its Chair the authority to pre-approve any permissible non-audit services with a fee of $50,000 or less.</w:t>
      </w:r>
    </w:p>
    <w:p>
      <w:pPr>
        <w:pStyle w:val="TextBody"/>
        <w:bidi w:val="0"/>
        <w:spacing w:lineRule="auto" w:line="288" w:before="0" w:after="120"/>
        <w:ind w:left="0" w:right="0" w:firstLine="720"/>
        <w:jc w:val="left"/>
        <w:rPr>
          <w:rFonts w:ascii="Arial;sans-serif" w:hAnsi="Arial;sans-serif"/>
          <w:b w:val="false"/>
          <w:color w:val="000000"/>
          <w:sz w:val="18"/>
        </w:rPr>
      </w:pPr>
      <w:r>
        <w:rPr>
          <w:rFonts w:ascii="Arial;sans-serif" w:hAnsi="Arial;sans-serif"/>
          <w:b w:val="false"/>
          <w:color w:val="000000"/>
          <w:sz w:val="18"/>
        </w:rPr>
        <w:t xml:space="preserve">In 2023, all of the services were approved by our Audit Committee or, if applicable, the Committee Chair.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6840"/>
                <wp:effectExtent l="0" t="0" r="0" b="0"/>
                <wp:wrapNone/>
                <wp:docPr id="162" name="Frame1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139</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Independent Registered Public Accounting Firm Fee Information</w:t>
      </w:r>
    </w:p>
    <w:p>
      <w:pPr>
        <w:pStyle w:val="TextBody"/>
        <w:bidi w:val="0"/>
        <w:spacing w:lineRule="auto" w:line="288" w:before="0" w:after="60"/>
        <w:jc w:val="both"/>
        <w:rPr>
          <w:rFonts w:ascii="Arial;sans-serif" w:hAnsi="Arial;sans-serif"/>
          <w:b w:val="false"/>
          <w:color w:val="000000"/>
          <w:sz w:val="18"/>
        </w:rPr>
      </w:pPr>
      <w:r>
        <w:rPr>
          <w:rFonts w:ascii="Arial;sans-serif" w:hAnsi="Arial;sans-serif"/>
          <w:b w:val="false"/>
          <w:color w:val="000000"/>
          <w:sz w:val="18"/>
        </w:rPr>
        <w:t xml:space="preserve">Fees for professional services provided by our independent registered public accounting firm, EY, included the following: </w:t>
      </w:r>
    </w:p>
    <w:tbl>
      <w:tblPr>
        <w:tblW w:w="10205" w:type="dxa"/>
        <w:jc w:val="left"/>
        <w:tblInd w:w="0" w:type="dxa"/>
        <w:tblLayout w:type="fixed"/>
        <w:tblCellMar>
          <w:top w:w="28" w:type="dxa"/>
          <w:left w:w="28" w:type="dxa"/>
          <w:bottom w:w="28" w:type="dxa"/>
          <w:right w:w="28" w:type="dxa"/>
        </w:tblCellMar>
      </w:tblPr>
      <w:tblGrid>
        <w:gridCol w:w="1453"/>
        <w:gridCol w:w="1275"/>
        <w:gridCol w:w="1293"/>
        <w:gridCol w:w="560"/>
        <w:gridCol w:w="360"/>
        <w:gridCol w:w="360"/>
        <w:gridCol w:w="578"/>
        <w:gridCol w:w="578"/>
        <w:gridCol w:w="592"/>
        <w:gridCol w:w="560"/>
        <w:gridCol w:w="355"/>
        <w:gridCol w:w="355"/>
        <w:gridCol w:w="547"/>
        <w:gridCol w:w="547"/>
        <w:gridCol w:w="792"/>
      </w:tblGrid>
      <w:tr>
        <w:trPr/>
        <w:tc>
          <w:tcPr>
            <w:tcW w:w="145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bottom w:val="single" w:sz="4" w:space="0" w:color="000000"/>
            </w:tcBorders>
            <w:shd w:fill="1D275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2023</w:t>
            </w:r>
          </w:p>
        </w:tc>
        <w:tc>
          <w:tcPr>
            <w:tcW w:w="127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bottom w:val="single" w:sz="4" w:space="0" w:color="000000"/>
            </w:tcBorders>
            <w:shd w:fill="1D2758"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2022</w:t>
            </w:r>
          </w:p>
        </w:tc>
      </w:tr>
      <w:tr>
        <w:trPr/>
        <w:tc>
          <w:tcPr>
            <w:tcW w:w="40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pPr>
            <w:r>
              <w:rPr>
                <w:rFonts w:ascii="Arial;sans-serif" w:hAnsi="Arial;sans-serif"/>
                <w:b w:val="false"/>
                <w:color w:val="000000"/>
                <w:sz w:val="18"/>
              </w:rPr>
              <w:t>Audit</w:t>
            </w:r>
            <w:r>
              <w:rPr>
                <w:rFonts w:ascii="Arial;sans-serif" w:hAnsi="Arial;sans-serif"/>
                <w:b w:val="false"/>
                <w:color w:val="000000"/>
                <w:sz w:val="12"/>
              </w:rPr>
              <w:t>(1)</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68" w:type="dxa"/>
            <w:gridSpan w:val="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3,518,090</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96" w:type="dxa"/>
            <w:gridSpan w:val="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3,671,492</w:t>
            </w:r>
          </w:p>
        </w:tc>
      </w:tr>
      <w:tr>
        <w:trPr/>
        <w:tc>
          <w:tcPr>
            <w:tcW w:w="40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8"/>
              </w:rPr>
            </w:pPr>
            <w:r>
              <w:rPr>
                <w:rFonts w:ascii="Arial;sans-serif" w:hAnsi="Arial;sans-serif"/>
                <w:b w:val="false"/>
                <w:color w:val="000000"/>
                <w:sz w:val="18"/>
              </w:rPr>
              <w:t>Audit-Related</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68" w:type="dxa"/>
            <w:gridSpan w:val="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96" w:type="dxa"/>
            <w:gridSpan w:val="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0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pPr>
            <w:r>
              <w:rPr>
                <w:rFonts w:ascii="Arial;sans-serif" w:hAnsi="Arial;sans-serif"/>
                <w:b w:val="false"/>
                <w:color w:val="000000"/>
                <w:sz w:val="18"/>
              </w:rPr>
              <w:t>Tax Compliance</w:t>
            </w:r>
            <w:r>
              <w:rPr>
                <w:rFonts w:ascii="Arial;sans-serif" w:hAnsi="Arial;sans-serif"/>
                <w:b w:val="false"/>
                <w:color w:val="000000"/>
                <w:sz w:val="12"/>
              </w:rPr>
              <w:t>(2)</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68" w:type="dxa"/>
            <w:gridSpan w:val="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96" w:type="dxa"/>
            <w:gridSpan w:val="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0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pPr>
            <w:r>
              <w:rPr>
                <w:rFonts w:ascii="Arial;sans-serif" w:hAnsi="Arial;sans-serif"/>
                <w:b w:val="false"/>
                <w:color w:val="000000"/>
                <w:sz w:val="18"/>
              </w:rPr>
              <w:t>Tax Planning</w:t>
            </w:r>
            <w:r>
              <w:rPr>
                <w:rFonts w:ascii="Arial;sans-serif" w:hAnsi="Arial;sans-serif"/>
                <w:b w:val="false"/>
                <w:color w:val="000000"/>
                <w:sz w:val="12"/>
              </w:rPr>
              <w:t>(3)</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68" w:type="dxa"/>
            <w:gridSpan w:val="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231,581</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96" w:type="dxa"/>
            <w:gridSpan w:val="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159,873</w:t>
            </w:r>
          </w:p>
        </w:tc>
      </w:tr>
      <w:tr>
        <w:trPr/>
        <w:tc>
          <w:tcPr>
            <w:tcW w:w="40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Arial;sans-serif" w:hAnsi="Arial;sans-serif"/>
                <w:b w:val="false"/>
                <w:color w:val="000000"/>
                <w:sz w:val="18"/>
              </w:rPr>
            </w:pPr>
            <w:r>
              <w:rPr>
                <w:rFonts w:ascii="Arial;sans-serif" w:hAnsi="Arial;sans-serif"/>
                <w:b w:val="false"/>
                <w:color w:val="000000"/>
                <w:sz w:val="18"/>
              </w:rPr>
              <w:t>All Other</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468" w:type="dxa"/>
            <w:gridSpan w:val="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56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596" w:type="dxa"/>
            <w:gridSpan w:val="5"/>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205" w:type="dxa"/>
            <w:gridSpan w:val="15"/>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53" w:after="283"/>
              <w:jc w:val="both"/>
              <w:rPr>
                <w:rFonts w:ascii="Arial;sans-serif" w:hAnsi="Arial;sans-serif"/>
                <w:b w:val="false"/>
                <w:i/>
                <w:color w:val="000000"/>
                <w:sz w:val="16"/>
              </w:rPr>
            </w:pPr>
            <w:r>
              <w:rPr>
                <w:rFonts w:ascii="Arial;sans-serif" w:hAnsi="Arial;sans-serif"/>
                <w:b w:val="false"/>
                <w:i/>
                <w:color w:val="000000"/>
                <w:sz w:val="16"/>
              </w:rPr>
              <w:t>(1) Audit fees include, without limitation, fees billed for professional services rendered for the audit of annual financial statements, including certain required statutory audits, support of acquisitions and divestitures accounting, and ongoing M&amp;A activity; the review of interim financial statements; and, comfort letters and consents.</w:t>
            </w:r>
          </w:p>
          <w:p>
            <w:pPr>
              <w:pStyle w:val="TableContents"/>
              <w:bidi w:val="0"/>
              <w:spacing w:lineRule="auto" w:line="240" w:before="0" w:after="0"/>
              <w:jc w:val="both"/>
              <w:rPr>
                <w:rFonts w:ascii="Arial;sans-serif" w:hAnsi="Arial;sans-serif"/>
                <w:b w:val="false"/>
                <w:i/>
                <w:color w:val="000000"/>
                <w:sz w:val="16"/>
              </w:rPr>
            </w:pPr>
            <w:r>
              <w:rPr>
                <w:rFonts w:ascii="Arial;sans-serif" w:hAnsi="Arial;sans-serif"/>
                <w:b w:val="false"/>
                <w:i/>
                <w:color w:val="000000"/>
                <w:sz w:val="16"/>
              </w:rPr>
              <w:t>(2) Tax compliance fees include, without limitation, fees billed for tax services rendered for the review of tax returns.</w:t>
            </w:r>
          </w:p>
          <w:p>
            <w:pPr>
              <w:pStyle w:val="TableContents"/>
              <w:bidi w:val="0"/>
              <w:spacing w:lineRule="auto" w:line="240" w:before="0" w:after="30"/>
              <w:jc w:val="both"/>
              <w:rPr>
                <w:rFonts w:ascii="Arial;sans-serif" w:hAnsi="Arial;sans-serif"/>
                <w:b w:val="false"/>
                <w:i/>
                <w:color w:val="000000"/>
                <w:sz w:val="16"/>
              </w:rPr>
            </w:pPr>
            <w:r>
              <w:rPr>
                <w:rFonts w:ascii="Arial;sans-serif" w:hAnsi="Arial;sans-serif"/>
                <w:b w:val="false"/>
                <w:i/>
                <w:color w:val="000000"/>
                <w:sz w:val="16"/>
              </w:rPr>
              <w:t>(3) Tax planning fees include, without limitation, fees billed for tax services rendered for routine tax advisory services.</w:t>
            </w:r>
          </w:p>
        </w:tc>
      </w:tr>
    </w:tbl>
    <w:p>
      <w:pPr>
        <w:pStyle w:val="TextBody"/>
        <w:bidi w:val="0"/>
        <w:spacing w:before="0" w:after="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00"/>
        <w:ind w:left="0" w:right="0" w:hanging="14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6840"/>
                <wp:effectExtent l="0" t="0" r="0" b="0"/>
                <wp:wrapNone/>
                <wp:docPr id="163" name="Frame1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140</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100"/>
        <w:ind w:left="0" w:right="0" w:hanging="1440"/>
        <w:jc w:val="center"/>
        <w:rPr>
          <w:rFonts w:ascii="Arial;sans-serif" w:hAnsi="Arial;sans-serif"/>
          <w:b/>
          <w:color w:val="1D2758"/>
          <w:sz w:val="44"/>
        </w:rPr>
      </w:pPr>
      <w:r>
        <w:rPr>
          <w:rFonts w:ascii="Arial;sans-serif" w:hAnsi="Arial;sans-serif"/>
          <w:b/>
          <w:color w:val="1D2758"/>
          <w:sz w:val="4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44"/>
        </w:rPr>
      </w:pPr>
      <w:r>
        <w:rPr>
          <w:rFonts w:ascii="Arial;sans-serif" w:hAnsi="Arial;sans-serif"/>
          <w:b/>
          <w:color w:val="000000"/>
          <w:sz w:val="44"/>
        </w:rPr>
        <w:t>ITEM 15.    Exhibit and Financial Statement Schedules</w:t>
      </w:r>
    </w:p>
    <w:p>
      <w:pPr>
        <w:pStyle w:val="TextBody"/>
        <w:bidi w:val="0"/>
        <w:spacing w:lineRule="auto" w:line="288" w:before="0" w:after="60"/>
        <w:ind w:left="0" w:right="0" w:firstLine="720"/>
        <w:jc w:val="left"/>
        <w:rPr>
          <w:rFonts w:ascii="Arial;sans-serif" w:hAnsi="Arial;sans-serif"/>
          <w:b w:val="false"/>
          <w:color w:val="000000"/>
          <w:sz w:val="18"/>
        </w:rPr>
      </w:pPr>
      <w:r>
        <w:rPr>
          <w:rFonts w:ascii="Arial;sans-serif" w:hAnsi="Arial;sans-serif"/>
          <w:b w:val="false"/>
          <w:color w:val="000000"/>
          <w:sz w:val="18"/>
        </w:rPr>
        <w:t>The following documents are filed as part of this report:</w:t>
      </w:r>
    </w:p>
    <w:p>
      <w:pPr>
        <w:pStyle w:val="TextBody"/>
        <w:bidi w:val="0"/>
        <w:spacing w:lineRule="auto" w:line="288" w:before="0" w:after="60"/>
        <w:jc w:val="left"/>
        <w:rPr>
          <w:rFonts w:ascii="Arial;sans-serif" w:hAnsi="Arial;sans-serif"/>
          <w:b w:val="false"/>
          <w:color w:val="1D2758"/>
          <w:sz w:val="26"/>
        </w:rPr>
      </w:pPr>
      <w:r>
        <w:rPr>
          <w:rFonts w:ascii="Arial;sans-serif" w:hAnsi="Arial;sans-serif"/>
          <w:b w:val="false"/>
          <w:color w:val="1D2758"/>
          <w:sz w:val="26"/>
        </w:rPr>
        <w:t>Consolidated Financial Statements</w:t>
      </w:r>
    </w:p>
    <w:tbl>
      <w:tblPr>
        <w:tblW w:w="9991" w:type="dxa"/>
        <w:jc w:val="left"/>
        <w:tblInd w:w="0" w:type="dxa"/>
        <w:tblLayout w:type="fixed"/>
        <w:tblCellMar>
          <w:top w:w="28" w:type="dxa"/>
          <w:left w:w="28" w:type="dxa"/>
          <w:bottom w:w="28" w:type="dxa"/>
          <w:right w:w="28" w:type="dxa"/>
        </w:tblCellMar>
      </w:tblPr>
      <w:tblGrid>
        <w:gridCol w:w="3316"/>
        <w:gridCol w:w="2913"/>
        <w:gridCol w:w="2921"/>
        <w:gridCol w:w="246"/>
        <w:gridCol w:w="246"/>
        <w:gridCol w:w="349"/>
      </w:tblGrid>
      <w:tr>
        <w:trPr/>
        <w:tc>
          <w:tcPr>
            <w:tcW w:w="3316"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9150"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1D275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Page</w:t>
            </w:r>
          </w:p>
          <w:p>
            <w:pPr>
              <w:pStyle w:val="TableContents"/>
              <w:bidi w:val="0"/>
              <w:spacing w:lineRule="auto" w:line="240" w:before="0" w:after="0"/>
              <w:jc w:val="center"/>
              <w:rPr>
                <w:rFonts w:ascii="Arial;sans-serif" w:hAnsi="Arial;sans-serif"/>
                <w:b/>
                <w:color w:val="FFFFFF"/>
                <w:sz w:val="18"/>
              </w:rPr>
            </w:pPr>
            <w:r>
              <w:rPr>
                <w:rFonts w:ascii="Arial;sans-serif" w:hAnsi="Arial;sans-serif"/>
                <w:b/>
                <w:color w:val="FFFFFF"/>
                <w:sz w:val="18"/>
              </w:rPr>
              <w:t>Number</w:t>
            </w:r>
          </w:p>
        </w:tc>
      </w:tr>
      <w:tr>
        <w:trPr/>
        <w:tc>
          <w:tcPr>
            <w:tcW w:w="9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Reports of Independent Registered Public Accounting Firm (Ernst &amp; Young, LLP, Baltimore, MD, PCAOB ID: 42)</w:t>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40" w:before="0" w:after="100"/>
              <w:jc w:val="center"/>
              <w:rPr/>
            </w:pPr>
            <w:hyperlink w:anchor="i6c5c72f0a7bf4edba66dc96965e21355_121">
              <w:r>
                <w:rPr>
                  <w:rStyle w:val="InternetLink"/>
                  <w:rFonts w:ascii="Arial;sans-serif" w:hAnsi="Arial;sans-serif"/>
                  <w:b w:val="false"/>
                  <w:color w:val="0000FF"/>
                  <w:sz w:val="18"/>
                  <w:u w:val="single"/>
                </w:rPr>
                <w:t>61</w:t>
              </w:r>
            </w:hyperlink>
          </w:p>
        </w:tc>
      </w:tr>
      <w:tr>
        <w:trPr/>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Balance Sheets as of December 31, 2023 and December 31, 2022</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c5c72f0a7bf4edba66dc96965e21355_124">
              <w:r>
                <w:rPr>
                  <w:rStyle w:val="InternetLink"/>
                  <w:rFonts w:ascii="Arial;sans-serif" w:hAnsi="Arial;sans-serif"/>
                  <w:b w:val="false"/>
                  <w:color w:val="0000FF"/>
                  <w:sz w:val="18"/>
                  <w:u w:val="single"/>
                </w:rPr>
                <w:t>63</w:t>
              </w:r>
            </w:hyperlink>
          </w:p>
        </w:tc>
      </w:tr>
      <w:tr>
        <w:trPr/>
        <w:tc>
          <w:tcPr>
            <w:tcW w:w="9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Operations for the Years Ended December 31, 2023, 2022 and 2021</w:t>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40" w:before="0" w:after="100"/>
              <w:jc w:val="center"/>
              <w:rPr/>
            </w:pPr>
            <w:hyperlink w:anchor="i6c5c72f0a7bf4edba66dc96965e21355_127">
              <w:r>
                <w:rPr>
                  <w:rStyle w:val="InternetLink"/>
                  <w:rFonts w:ascii="Arial;sans-serif" w:hAnsi="Arial;sans-serif"/>
                  <w:b w:val="false"/>
                  <w:color w:val="0000FF"/>
                  <w:sz w:val="18"/>
                  <w:u w:val="single"/>
                </w:rPr>
                <w:t>64</w:t>
              </w:r>
            </w:hyperlink>
          </w:p>
        </w:tc>
      </w:tr>
      <w:tr>
        <w:trPr/>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Comprehensive Income for the Years Ended December 31, 2023, 2022 and 2021</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pPr>
            <w:hyperlink w:anchor="i6c5c72f0a7bf4edba66dc96965e21355_130">
              <w:r>
                <w:rPr>
                  <w:rStyle w:val="InternetLink"/>
                  <w:rFonts w:ascii="Arial;sans-serif" w:hAnsi="Arial;sans-serif"/>
                  <w:b w:val="false"/>
                  <w:color w:val="0000FF"/>
                  <w:sz w:val="18"/>
                  <w:u w:val="single"/>
                </w:rPr>
                <w:t>65</w:t>
              </w:r>
            </w:hyperlink>
          </w:p>
        </w:tc>
      </w:tr>
      <w:tr>
        <w:trPr/>
        <w:tc>
          <w:tcPr>
            <w:tcW w:w="9150"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Changes in Equity for the Years Ended December 31, 2023, 2022 and 2021</w:t>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40" w:before="0" w:after="100"/>
              <w:jc w:val="center"/>
              <w:rPr/>
            </w:pPr>
            <w:hyperlink w:anchor="i6c5c72f0a7bf4edba66dc96965e21355_133">
              <w:r>
                <w:rPr>
                  <w:rStyle w:val="InternetLink"/>
                  <w:rFonts w:ascii="Arial;sans-serif" w:hAnsi="Arial;sans-serif"/>
                  <w:b w:val="false"/>
                  <w:color w:val="0000FF"/>
                  <w:sz w:val="18"/>
                  <w:u w:val="single"/>
                </w:rPr>
                <w:t>66</w:t>
              </w:r>
            </w:hyperlink>
          </w:p>
        </w:tc>
      </w:tr>
      <w:tr>
        <w:trPr/>
        <w:tc>
          <w:tcPr>
            <w:tcW w:w="9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Consolidated Statements of Cash Flow for the Years Ended December 31, 2023, 2022 and 2021</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center"/>
              <w:rPr/>
            </w:pPr>
            <w:hyperlink w:anchor="i6c5c72f0a7bf4edba66dc96965e21355_136">
              <w:r>
                <w:rPr>
                  <w:rStyle w:val="InternetLink"/>
                  <w:rFonts w:ascii="Arial;sans-serif" w:hAnsi="Arial;sans-serif"/>
                  <w:b w:val="false"/>
                  <w:color w:val="0000FF"/>
                  <w:sz w:val="18"/>
                  <w:u w:val="single"/>
                </w:rPr>
                <w:t>67</w:t>
              </w:r>
            </w:hyperlink>
          </w:p>
        </w:tc>
      </w:tr>
      <w:tr>
        <w:trPr/>
        <w:tc>
          <w:tcPr>
            <w:tcW w:w="915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Notes to the Audited Consolidated Financial Statements</w:t>
            </w:r>
          </w:p>
        </w:tc>
        <w:tc>
          <w:tcPr>
            <w:tcW w:w="841" w:type="dxa"/>
            <w:gridSpan w:val="3"/>
            <w:tcBorders/>
            <w:shd w:fill="DBDBDB" w:val="clear"/>
            <w:tcMar>
              <w:top w:w="0" w:type="dxa"/>
              <w:left w:w="0" w:type="dxa"/>
              <w:bottom w:w="0" w:type="dxa"/>
              <w:right w:w="0" w:type="dxa"/>
            </w:tcMar>
            <w:vAlign w:val="center"/>
          </w:tcPr>
          <w:p>
            <w:pPr>
              <w:pStyle w:val="TableContents"/>
              <w:bidi w:val="0"/>
              <w:spacing w:lineRule="auto" w:line="240" w:before="0" w:after="100"/>
              <w:jc w:val="center"/>
              <w:rPr/>
            </w:pPr>
            <w:hyperlink w:anchor="i6c5c72f0a7bf4edba66dc96965e21355_139">
              <w:r>
                <w:rPr>
                  <w:rStyle w:val="InternetLink"/>
                  <w:rFonts w:ascii="Arial;sans-serif" w:hAnsi="Arial;sans-serif"/>
                  <w:b w:val="false"/>
                  <w:color w:val="0000FF"/>
                  <w:sz w:val="18"/>
                  <w:u w:val="single"/>
                </w:rPr>
                <w:t>69</w:t>
              </w:r>
            </w:hyperlink>
          </w:p>
        </w:tc>
      </w:tr>
    </w:tbl>
    <w:p>
      <w:pPr>
        <w:pStyle w:val="TextBody"/>
        <w:bidi w:val="0"/>
        <w:spacing w:lineRule="auto" w:line="288" w:before="120" w:after="60"/>
        <w:jc w:val="left"/>
        <w:rPr>
          <w:rFonts w:ascii="Arial;sans-serif" w:hAnsi="Arial;sans-serif"/>
          <w:b w:val="false"/>
          <w:color w:val="1D2758"/>
          <w:sz w:val="26"/>
        </w:rPr>
      </w:pPr>
      <w:r>
        <w:rPr>
          <w:rFonts w:ascii="Arial;sans-serif" w:hAnsi="Arial;sans-serif"/>
          <w:b w:val="false"/>
          <w:color w:val="1D2758"/>
          <w:sz w:val="26"/>
        </w:rPr>
        <w:t>Financial Statement Schedule</w:t>
      </w:r>
    </w:p>
    <w:p>
      <w:pPr>
        <w:pStyle w:val="TextBody"/>
        <w:bidi w:val="0"/>
        <w:spacing w:lineRule="auto" w:line="288" w:before="0" w:after="120"/>
        <w:ind w:left="0" w:right="0" w:firstLine="720"/>
        <w:jc w:val="both"/>
        <w:rPr>
          <w:rFonts w:ascii="Arial;sans-serif" w:hAnsi="Arial;sans-serif"/>
          <w:b w:val="false"/>
          <w:color w:val="000000"/>
          <w:sz w:val="18"/>
        </w:rPr>
      </w:pPr>
      <w:r>
        <w:rPr>
          <w:rFonts w:ascii="Arial;sans-serif" w:hAnsi="Arial;sans-serif"/>
          <w:b w:val="false"/>
          <w:color w:val="000000"/>
          <w:sz w:val="18"/>
        </w:rPr>
        <w:t>All schedules have been omitted because the information required to be set forth therein is not applicable or is shown in the financial statements or notes thereto.</w:t>
      </w:r>
    </w:p>
    <w:p>
      <w:pPr>
        <w:pStyle w:val="TextBody"/>
        <w:bidi w:val="0"/>
        <w:spacing w:lineRule="auto" w:line="288" w:before="0" w:after="60"/>
        <w:jc w:val="both"/>
        <w:rPr>
          <w:rFonts w:ascii="Arial;sans-serif" w:hAnsi="Arial;sans-serif"/>
          <w:b w:val="false"/>
          <w:color w:val="1D2758"/>
          <w:sz w:val="26"/>
        </w:rPr>
      </w:pPr>
      <w:r>
        <w:rPr>
          <w:rFonts w:ascii="Arial;sans-serif" w:hAnsi="Arial;sans-serif"/>
          <w:b w:val="false"/>
          <w:color w:val="1D2758"/>
          <w:sz w:val="26"/>
        </w:rPr>
        <w:t>Exhibits</w:t>
      </w:r>
    </w:p>
    <w:p>
      <w:pPr>
        <w:pStyle w:val="TextBody"/>
        <w:bidi w:val="0"/>
        <w:spacing w:lineRule="auto" w:line="288" w:before="0" w:after="60"/>
        <w:ind w:left="0" w:right="0" w:firstLine="720"/>
        <w:jc w:val="both"/>
        <w:rPr>
          <w:rFonts w:ascii="Arial;sans-serif" w:hAnsi="Arial;sans-serif"/>
          <w:b w:val="false"/>
          <w:color w:val="000000"/>
          <w:sz w:val="18"/>
        </w:rPr>
      </w:pPr>
      <w:r>
        <w:rPr>
          <w:rFonts w:ascii="Arial;sans-serif" w:hAnsi="Arial;sans-serif"/>
          <w:b w:val="false"/>
          <w:color w:val="000000"/>
          <w:sz w:val="18"/>
        </w:rPr>
        <w:t>The exhibits listed in the accompanying Exhibit Index are filed or incorporated by reference as part of this Annual Report on Form 10-K.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6840"/>
                <wp:effectExtent l="0" t="0" r="0" b="0"/>
                <wp:wrapNone/>
                <wp:docPr id="164" name="Frame1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141</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Exhibit Index</w:t>
      </w:r>
    </w:p>
    <w:tbl>
      <w:tblPr>
        <w:tblW w:w="10205" w:type="dxa"/>
        <w:jc w:val="center"/>
        <w:tblInd w:w="0" w:type="dxa"/>
        <w:tblLayout w:type="fixed"/>
        <w:tblCellMar>
          <w:top w:w="28" w:type="dxa"/>
          <w:left w:w="28" w:type="dxa"/>
          <w:bottom w:w="28" w:type="dxa"/>
          <w:right w:w="28" w:type="dxa"/>
        </w:tblCellMar>
      </w:tblPr>
      <w:tblGrid>
        <w:gridCol w:w="284"/>
        <w:gridCol w:w="251"/>
        <w:gridCol w:w="252"/>
        <w:gridCol w:w="109"/>
        <w:gridCol w:w="109"/>
        <w:gridCol w:w="109"/>
        <w:gridCol w:w="3001"/>
        <w:gridCol w:w="2518"/>
        <w:gridCol w:w="3572"/>
      </w:tblGrid>
      <w:tr>
        <w:trPr/>
        <w:tc>
          <w:tcPr>
            <w:tcW w:w="28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787"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Exhibit No.</w:t>
            </w:r>
          </w:p>
        </w:tc>
        <w:tc>
          <w:tcPr>
            <w:tcW w:w="327" w:type="dxa"/>
            <w:gridSpan w:val="3"/>
            <w:tcBorders/>
            <w:shd w:fill="1D275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1D275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Exhibit Description</w:t>
            </w:r>
          </w:p>
        </w:tc>
      </w:tr>
      <w:tr>
        <w:trPr/>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Arial;sans-serif" w:hAnsi="Arial;sans-serif"/>
                  <w:b w:val="false"/>
                  <w:color w:val="000000"/>
                  <w:sz w:val="18"/>
                </w:rPr>
                <w:t>2.1</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Arial;sans-serif" w:hAnsi="Arial;sans-serif"/>
                  <w:b w:val="false"/>
                  <w:color w:val="000000"/>
                  <w:sz w:val="18"/>
                </w:rPr>
                <w:t>Agreement and Plan of Merger, dated as of January 28, 2024, by and among WillScot Mobile Mini Holdings Corp., Brunello Merger Sub I, Inc., Brunello Merger Sub II, LLC, and McGrath RentCorp (incorporated by reference to Exhibit 2.1 of the Company's Current Report on Form 8-K, filed January 29, 2024)</w:t>
              </w:r>
            </w:hyperlink>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Arial;sans-serif" w:hAnsi="Arial;sans-serif"/>
                  <w:b w:val="false"/>
                  <w:color w:val="000080"/>
                  <w:sz w:val="18"/>
                </w:rPr>
                <w:t>3.</w:t>
              </w:r>
            </w:hyperlink>
            <w:r>
              <w:rPr>
                <w:rFonts w:ascii="Arial;sans-serif" w:hAnsi="Arial;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Arial;sans-serif" w:hAnsi="Arial;sans-serif"/>
                  <w:b w:val="false"/>
                  <w:color w:val="000000"/>
                  <w:sz w:val="18"/>
                </w:rPr>
                <w:t>Amended and Restated Certificate of Incorporation of WillScot Mobile Mini Holdings Corp., Amended as of June 3, 2022 (incorporated by reference to Exhibit 3.1 of the Company's Quarterly Report on Form 10-Q, filed on April 27, 2023)</w:t>
              </w:r>
            </w:hyperlink>
          </w:p>
        </w:tc>
      </w:tr>
      <w:tr>
        <w:trPr/>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Arial;sans-serif" w:hAnsi="Arial;sans-serif"/>
                  <w:b w:val="false"/>
                  <w:color w:val="000080"/>
                  <w:sz w:val="18"/>
                </w:rPr>
                <w:t>3.</w:t>
              </w:r>
            </w:hyperlink>
            <w:r>
              <w:rPr>
                <w:rFonts w:ascii="Arial;sans-serif" w:hAnsi="Arial;sans-serif"/>
                <w:b w:val="false"/>
                <w:color w:val="000000"/>
                <w:sz w:val="18"/>
              </w:rPr>
              <w:t>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Arial;sans-serif" w:hAnsi="Arial;sans-serif"/>
                  <w:b w:val="false"/>
                  <w:color w:val="000000"/>
                  <w:sz w:val="18"/>
                </w:rPr>
                <w:t>Fifth Amended and Restated Bylaws of WillScot Mobile Mini Holdings Corp. (incorporated by reference to Exhibit 3.1 of the Company’s Current Report on Form 8-K, filed November 2, 2022).</w:t>
              </w:r>
            </w:hyperlink>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41-10k2023.htm">
              <w:r>
                <w:rPr>
                  <w:rStyle w:val="InternetLink"/>
                  <w:rFonts w:ascii="Arial;sans-serif" w:hAnsi="Arial;sans-serif"/>
                  <w:b w:val="false"/>
                  <w:color w:val="000080"/>
                  <w:sz w:val="18"/>
                </w:rPr>
                <w:t>4.1</w:t>
              </w:r>
            </w:hyperlink>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41-10k2023.htm">
              <w:r>
                <w:rPr>
                  <w:rStyle w:val="InternetLink"/>
                  <w:rFonts w:ascii="Arial;sans-serif" w:hAnsi="Arial;sans-serif"/>
                  <w:b w:val="false"/>
                  <w:color w:val="000000"/>
                  <w:sz w:val="18"/>
                </w:rPr>
                <w:t>Specimen Common Stock Certificate</w:t>
              </w:r>
            </w:hyperlink>
          </w:p>
        </w:tc>
      </w:tr>
      <w:tr>
        <w:trPr/>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Arial;sans-serif" w:hAnsi="Arial;sans-serif"/>
                  <w:b w:val="false"/>
                  <w:color w:val="000000"/>
                  <w:sz w:val="18"/>
                </w:rPr>
                <w:t>4.2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Arial;sans-serif" w:hAnsi="Arial;sans-serif"/>
                  <w:b w:val="false"/>
                  <w:color w:val="000000"/>
                  <w:sz w:val="18"/>
                </w:rPr>
                <w:t xml:space="preserve">Indenture, dated as of June 15, 2020, by and between Picasso Finance Sub, Inc., and Deutsche Bank Trust Company Americas, as trustee (incorporated by reference to Exhibit 4.1 of WillScot Corporation’s Report on Form 8-K, filed June 16, 2020). </w:t>
              </w:r>
            </w:hyperlink>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Arial;sans-serif" w:hAnsi="Arial;sans-serif"/>
                  <w:b w:val="false"/>
                  <w:color w:val="000000"/>
                  <w:sz w:val="18"/>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Arial;sans-serif" w:hAnsi="Arial;sans-serif"/>
                  <w:b w:val="false"/>
                  <w:color w:val="000000"/>
                  <w:sz w:val="18"/>
                </w:rPr>
                <w:t xml:space="preserve">Supplemental Indenture, dated July 1, 2020, to the Indenture dated June 15, 2020, by and among Williams Scotsman International, Inc. (as successor to Picasso Finance Sub, Inc.), the guarantors party thereto and Deutsche Bank Trust Company Americas, as trustee (incorporated by reference to Exhibit 4.1 to WillScot Corporation’s Current Report on Form 8-K, filed July 1, 2020). </w:t>
              </w:r>
            </w:hyperlink>
          </w:p>
        </w:tc>
      </w:tr>
      <w:tr>
        <w:trPr/>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Arial;sans-serif" w:hAnsi="Arial;sans-serif"/>
                  <w:b w:val="false"/>
                  <w:color w:val="000000"/>
                  <w:sz w:val="18"/>
                </w:rPr>
                <w:t>4.4</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Arial;sans-serif" w:hAnsi="Arial;sans-serif"/>
                  <w:b w:val="false"/>
                  <w:color w:val="000000"/>
                  <w:sz w:val="18"/>
                </w:rPr>
                <w:t xml:space="preserve">Indenture, dated as of August 25, 2020, by and between Williams Scotsman International, Inc., the guarantors named therein, and Deutsche Bank Trust Company Americas, as trustee (incorporated by reference to Exhibit 4.1 to WillScot Corporation’s Current Report on Form 8-K, filed on August 27, 2020. </w:t>
              </w:r>
            </w:hyperlink>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Arial;sans-serif" w:hAnsi="Arial;sans-serif"/>
                  <w:b w:val="false"/>
                  <w:color w:val="000000"/>
                  <w:sz w:val="18"/>
                </w:rPr>
                <w:t>4.5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Arial;sans-serif" w:hAnsi="Arial;sans-serif"/>
                  <w:b w:val="false"/>
                  <w:color w:val="000000"/>
                  <w:sz w:val="18"/>
                </w:rPr>
                <w:t>Shareholders Agreement, dated July 1, 2020, by and among WillScot Mobile Mini Holdings Corp., Sapphire Holdings, S.á r.l., TDR Capital Holdings L.P. and TDR Capital, L.L.P (incorporated by reference to Exhibit 1.1 of the Company’s Current Report on Form 8-K, filed July 1, 2020).</w:t>
              </w:r>
            </w:hyperlink>
          </w:p>
        </w:tc>
      </w:tr>
      <w:tr>
        <w:trPr/>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Arial;sans-serif" w:hAnsi="Arial;sans-serif"/>
                  <w:b w:val="false"/>
                  <w:color w:val="000000"/>
                  <w:sz w:val="18"/>
                </w:rPr>
                <w:t>4.6</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Arial;sans-serif" w:hAnsi="Arial;sans-serif"/>
                  <w:b w:val="false"/>
                  <w:color w:val="000000"/>
                  <w:sz w:val="18"/>
                </w:rPr>
                <w:t>Second Supplemental Indenture, dated December 23, 2021, to the Indenture dated June 15, 2020, by and among Williams Scotsman, Inc., the guarantors party thereto and Deutsche Bank Trust Company Americas, as trustee and collateral agent (incorporated by reference to Exhibit 4.1 of the Company’s Current Report on Form 8-K, filed December 27, 2021).</w:t>
              </w:r>
            </w:hyperlink>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1">
              <w:r>
                <w:rPr>
                  <w:rStyle w:val="InternetLink"/>
                  <w:rFonts w:ascii="Arial;sans-serif" w:hAnsi="Arial;sans-serif"/>
                  <w:b w:val="false"/>
                  <w:color w:val="000000"/>
                  <w:sz w:val="18"/>
                </w:rPr>
                <w:t>4.7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Arial;sans-serif" w:hAnsi="Arial;sans-serif"/>
                  <w:b w:val="false"/>
                  <w:color w:val="000000"/>
                  <w:sz w:val="18"/>
                </w:rPr>
                <w:t>First Supplemental Indenture, dated December 23, 2021, to the Indenture dated August 25, 2020, by and among Williams Scotsman, Inc., the guarantors party thereto and Deutsche Bank Trust Company Americas, as trustee and collateral agent (incorporated by reference to Exhibit 4.2 of the Company’s Current Report on Form 8-K, filed December 27, 2021).</w:t>
              </w:r>
            </w:hyperlink>
          </w:p>
        </w:tc>
      </w:tr>
      <w:tr>
        <w:trPr/>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43">
              <w:r>
                <w:rPr>
                  <w:rStyle w:val="InternetLink"/>
                  <w:rFonts w:ascii="Arial;sans-serif" w:hAnsi="Arial;sans-serif"/>
                  <w:b w:val="false"/>
                  <w:color w:val="000000"/>
                  <w:sz w:val="18"/>
                </w:rPr>
                <w:t>4.8</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Arial;sans-serif" w:hAnsi="Arial;sans-serif"/>
                  <w:b w:val="false"/>
                  <w:color w:val="000080"/>
                  <w:sz w:val="18"/>
                </w:rPr>
                <w:t xml:space="preserve">Indenture, dated as of September 25, 2023, by and among </w:t>
              </w:r>
            </w:hyperlink>
            <w:hyperlink r:id="rId45">
              <w:r>
                <w:rPr>
                  <w:rStyle w:val="InternetLink"/>
                  <w:rFonts w:ascii="Arial;sans-serif" w:hAnsi="Arial;sans-serif"/>
                  <w:b w:val="false"/>
                  <w:color w:val="000080"/>
                  <w:sz w:val="18"/>
                </w:rPr>
                <w:t>Willi</w:t>
              </w:r>
            </w:hyperlink>
            <w:hyperlink r:id="rId46">
              <w:r>
                <w:rPr>
                  <w:rStyle w:val="InternetLink"/>
                  <w:rFonts w:ascii="Arial;sans-serif" w:hAnsi="Arial;sans-serif"/>
                  <w:b w:val="false"/>
                  <w:color w:val="000080"/>
                  <w:sz w:val="18"/>
                </w:rPr>
                <w:t>ams Scotsman, Inc.,</w:t>
              </w:r>
            </w:hyperlink>
            <w:hyperlink r:id="rId47">
              <w:r>
                <w:rPr>
                  <w:rStyle w:val="InternetLink"/>
                  <w:rFonts w:ascii="Arial;sans-serif" w:hAnsi="Arial;sans-serif"/>
                  <w:b w:val="false"/>
                  <w:color w:val="000080"/>
                  <w:sz w:val="18"/>
                </w:rPr>
                <w:t xml:space="preserve"> the </w:t>
              </w:r>
            </w:hyperlink>
            <w:hyperlink r:id="rId48">
              <w:r>
                <w:rPr>
                  <w:rStyle w:val="InternetLink"/>
                  <w:rFonts w:ascii="Arial;sans-serif" w:hAnsi="Arial;sans-serif"/>
                  <w:b w:val="false"/>
                  <w:color w:val="000080"/>
                  <w:sz w:val="18"/>
                </w:rPr>
                <w:t>g</w:t>
              </w:r>
            </w:hyperlink>
            <w:hyperlink r:id="rId49">
              <w:r>
                <w:rPr>
                  <w:rStyle w:val="InternetLink"/>
                  <w:rFonts w:ascii="Arial;sans-serif" w:hAnsi="Arial;sans-serif"/>
                  <w:b w:val="false"/>
                  <w:color w:val="000080"/>
                  <w:sz w:val="18"/>
                </w:rPr>
                <w:t>uarantors</w:t>
              </w:r>
            </w:hyperlink>
            <w:hyperlink r:id="rId50">
              <w:r>
                <w:rPr>
                  <w:rStyle w:val="InternetLink"/>
                  <w:rFonts w:ascii="Arial;sans-serif" w:hAnsi="Arial;sans-serif"/>
                  <w:b w:val="false"/>
                  <w:color w:val="000080"/>
                  <w:sz w:val="18"/>
                </w:rPr>
                <w:t xml:space="preserve"> party thereto</w:t>
              </w:r>
            </w:hyperlink>
            <w:hyperlink r:id="rId51">
              <w:r>
                <w:rPr>
                  <w:rStyle w:val="InternetLink"/>
                  <w:rFonts w:ascii="Arial;sans-serif" w:hAnsi="Arial;sans-serif"/>
                  <w:b w:val="false"/>
                  <w:color w:val="000080"/>
                  <w:sz w:val="18"/>
                </w:rPr>
                <w:t xml:space="preserve"> and Deutsche Bank Trust Company Americas, as trustee</w:t>
              </w:r>
            </w:hyperlink>
            <w:hyperlink r:id="rId52">
              <w:r>
                <w:rPr>
                  <w:rStyle w:val="InternetLink"/>
                  <w:rFonts w:ascii="Arial;sans-serif" w:hAnsi="Arial;sans-serif"/>
                  <w:b w:val="false"/>
                  <w:color w:val="000080"/>
                  <w:sz w:val="18"/>
                </w:rPr>
                <w:t xml:space="preserve"> and collateral agent</w:t>
              </w:r>
            </w:hyperlink>
            <w:hyperlink r:id="rId53">
              <w:r>
                <w:rPr>
                  <w:rStyle w:val="InternetLink"/>
                  <w:rFonts w:ascii="Arial;sans-serif" w:hAnsi="Arial;sans-serif"/>
                  <w:b w:val="false"/>
                  <w:color w:val="000080"/>
                  <w:sz w:val="18"/>
                </w:rPr>
                <w:t xml:space="preserve"> (incorporated by reference to Exhibit 4.1 of the Company's Current Report on Form 8-K, filed September 2</w:t>
              </w:r>
            </w:hyperlink>
            <w:hyperlink r:id="rId54">
              <w:r>
                <w:rPr>
                  <w:rStyle w:val="InternetLink"/>
                  <w:rFonts w:ascii="Arial;sans-serif" w:hAnsi="Arial;sans-serif"/>
                  <w:b w:val="false"/>
                  <w:color w:val="000080"/>
                  <w:sz w:val="18"/>
                </w:rPr>
                <w:t>9</w:t>
              </w:r>
            </w:hyperlink>
            <w:hyperlink r:id="rId55">
              <w:r>
                <w:rPr>
                  <w:rStyle w:val="InternetLink"/>
                  <w:rFonts w:ascii="Arial;sans-serif" w:hAnsi="Arial;sans-serif"/>
                  <w:b w:val="false"/>
                  <w:color w:val="000080"/>
                  <w:sz w:val="18"/>
                </w:rPr>
                <w:t>, 2023).</w:t>
              </w:r>
            </w:hyperlink>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49-10k2023.htm">
              <w:r>
                <w:rPr>
                  <w:rStyle w:val="InternetLink"/>
                  <w:rFonts w:ascii="Arial;sans-serif" w:hAnsi="Arial;sans-serif"/>
                  <w:b w:val="false"/>
                  <w:color w:val="000000"/>
                  <w:sz w:val="18"/>
                </w:rPr>
                <w:t>Description of Registered Securities</w:t>
              </w:r>
            </w:hyperlink>
          </w:p>
        </w:tc>
      </w:tr>
      <w:tr>
        <w:trPr/>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56">
              <w:r>
                <w:rPr>
                  <w:rStyle w:val="InternetLink"/>
                  <w:rFonts w:ascii="Arial;sans-serif" w:hAnsi="Arial;sans-serif"/>
                  <w:b w:val="false"/>
                  <w:color w:val="000000"/>
                  <w:sz w:val="18"/>
                </w:rPr>
                <w:t>10.1</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Arial;sans-serif" w:hAnsi="Arial;sans-serif"/>
                  <w:b w:val="false"/>
                  <w:color w:val="000000"/>
                  <w:sz w:val="18"/>
                </w:rPr>
                <w:t>ABL Credit Agreement, dated July 1, 2020, by and among Williams Scotsman Holdings Corp., WSII, the guarantors party thereto, the lenders party thereto, and Bank of America, N.A., as administrative agent and collateral agent (incorporated by reference to Exhibit 10.1 of the Company’s Current Report on Form 8-K, filed July 1, 2020).</w:t>
              </w:r>
            </w:hyperlink>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8">
              <w:r>
                <w:rPr>
                  <w:rStyle w:val="InternetLink"/>
                  <w:rFonts w:ascii="Arial;sans-serif" w:hAnsi="Arial;sans-serif"/>
                  <w:b w:val="false"/>
                  <w:color w:val="000000"/>
                  <w:sz w:val="18"/>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Arial;sans-serif" w:hAnsi="Arial;sans-serif"/>
                  <w:b w:val="false"/>
                  <w:color w:val="000000"/>
                  <w:sz w:val="18"/>
                </w:rPr>
                <w:t xml:space="preserve">Form of Indemnification Agreement (incorporated by reference to Exhibit 10.2 of the Company’s Current Report on Form 8-K, filed July 1, 2020). </w:t>
              </w:r>
            </w:hyperlink>
          </w:p>
        </w:tc>
      </w:tr>
      <w:tr>
        <w:trPr/>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60">
              <w:r>
                <w:rPr>
                  <w:rStyle w:val="InternetLink"/>
                  <w:rFonts w:ascii="Arial;sans-serif" w:hAnsi="Arial;sans-serif"/>
                  <w:b w:val="false"/>
                  <w:color w:val="000000"/>
                  <w:sz w:val="18"/>
                </w:rPr>
                <w:t>10.3</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Arial;sans-serif" w:hAnsi="Arial;sans-serif"/>
                  <w:b w:val="false"/>
                  <w:color w:val="000000"/>
                  <w:sz w:val="18"/>
                </w:rPr>
                <w:t xml:space="preserve">WillScot Mobile Mini Holdings Corp. 2020 Incentive Plan (incorporated by reference to Exhibit 10.3 of the Company’s Current Report on Form 8-K, filed July 1, 2020). </w:t>
              </w:r>
            </w:hyperlink>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2">
              <w:r>
                <w:rPr>
                  <w:rStyle w:val="InternetLink"/>
                  <w:rFonts w:ascii="Arial;sans-serif" w:hAnsi="Arial;sans-serif"/>
                  <w:b w:val="false"/>
                  <w:color w:val="000000"/>
                  <w:sz w:val="18"/>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Arial;sans-serif" w:hAnsi="Arial;sans-serif"/>
                  <w:b w:val="false"/>
                  <w:color w:val="000000"/>
                  <w:sz w:val="18"/>
                </w:rPr>
                <w:t xml:space="preserve">Form of Restricted Stock Unit Agreement (incorporated by reference to Exhibit 10.4 of the Company’s Current Report on Form 8-K, filed July 1, 2020). </w:t>
              </w:r>
            </w:hyperlink>
          </w:p>
        </w:tc>
      </w:tr>
      <w:tr>
        <w:trPr/>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ex105-10k2023.htm">
              <w:r>
                <w:rPr>
                  <w:rStyle w:val="InternetLink"/>
                  <w:rFonts w:ascii="Arial;sans-serif" w:hAnsi="Arial;sans-serif"/>
                  <w:b w:val="false"/>
                  <w:color w:val="000080"/>
                  <w:sz w:val="18"/>
                </w:rPr>
                <w:t>10.5</w:t>
              </w:r>
            </w:hyperlink>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105-10k2023.htm">
              <w:r>
                <w:rPr>
                  <w:rStyle w:val="InternetLink"/>
                  <w:rFonts w:ascii="Arial;sans-serif" w:hAnsi="Arial;sans-serif"/>
                  <w:b w:val="false"/>
                  <w:color w:val="000000"/>
                  <w:sz w:val="18"/>
                </w:rPr>
                <w:t>Form of Performance-Based Restricted Stock Unit Agreement</w:t>
              </w:r>
            </w:hyperlink>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4">
              <w:r>
                <w:rPr>
                  <w:rStyle w:val="InternetLink"/>
                  <w:rFonts w:ascii="Arial;sans-serif" w:hAnsi="Arial;sans-serif"/>
                  <w:b w:val="false"/>
                  <w:color w:val="000000"/>
                  <w:sz w:val="18"/>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Arial;sans-serif" w:hAnsi="Arial;sans-serif"/>
                  <w:b w:val="false"/>
                  <w:color w:val="000000"/>
                  <w:sz w:val="18"/>
                </w:rPr>
                <w:t>Amended and Restated Employment Agreement, dated as of September 7, 2021, by and between WillScot Mobile Mini Holdings Corp. and Bradley Soultz (incorporated by reference to Exhibit 10.1 of the Company’s Current Report on Form 8-K, filed September 8, 2021).</w:t>
              </w:r>
            </w:hyperlink>
          </w:p>
        </w:tc>
      </w:tr>
      <w:tr>
        <w:trPr/>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66">
              <w:r>
                <w:rPr>
                  <w:rStyle w:val="InternetLink"/>
                  <w:rFonts w:ascii="Arial;sans-serif" w:hAnsi="Arial;sans-serif"/>
                  <w:b w:val="false"/>
                  <w:color w:val="000000"/>
                  <w:sz w:val="18"/>
                </w:rPr>
                <w:t>10.7</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Arial;sans-serif" w:hAnsi="Arial;sans-serif"/>
                  <w:b w:val="false"/>
                  <w:color w:val="000000"/>
                  <w:sz w:val="18"/>
                </w:rPr>
                <w:t>Amended and Restated Employment Agreement, dated as of September 7, 2021, by and between WillScot Mobile Mini Holdings Corp. and Timothy Boswell (incorporated by reference to Exhibit 10.2 of the Company’s Current Report on Form 8-K, filed September 8, 2021).</w:t>
              </w:r>
            </w:hyperlink>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8">
              <w:r>
                <w:rPr>
                  <w:rStyle w:val="InternetLink"/>
                  <w:rFonts w:ascii="Arial;sans-serif" w:hAnsi="Arial;sans-serif"/>
                  <w:b w:val="false"/>
                  <w:color w:val="000080"/>
                  <w:sz w:val="18"/>
                </w:rPr>
                <w:t>10.</w:t>
              </w:r>
            </w:hyperlink>
            <w:hyperlink r:id="rId69">
              <w:r>
                <w:rPr>
                  <w:rStyle w:val="InternetLink"/>
                  <w:rFonts w:ascii="Arial;sans-serif" w:hAnsi="Arial;sans-serif"/>
                  <w:b w:val="false"/>
                  <w:color w:val="000080"/>
                  <w:sz w:val="18"/>
                </w:rPr>
                <w:t>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0">
              <w:r>
                <w:rPr>
                  <w:rStyle w:val="InternetLink"/>
                  <w:rFonts w:ascii="Arial;sans-serif" w:hAnsi="Arial;sans-serif"/>
                  <w:b w:val="false"/>
                  <w:color w:val="000000"/>
                  <w:sz w:val="18"/>
                </w:rPr>
                <w:t>Amended and Restated Employment Agreement, dated as of June 3, 2022, by and between WillScot Mobile Mini Holdings Corp. and Hezron Lopez (incorporated by reference to Exhibit 10.1 of the Company’s Current Report on Form 8-K, filed June 7, 2022).</w:t>
              </w:r>
            </w:hyperlink>
          </w:p>
        </w:tc>
      </w:tr>
      <w:tr>
        <w:trPr/>
        <w:tc>
          <w:tcPr>
            <w:tcW w:w="787"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71">
              <w:r>
                <w:rPr>
                  <w:rStyle w:val="InternetLink"/>
                  <w:rFonts w:ascii="Arial;sans-serif" w:hAnsi="Arial;sans-serif"/>
                  <w:b w:val="false"/>
                  <w:color w:val="000080"/>
                  <w:sz w:val="18"/>
                </w:rPr>
                <w:t>10.</w:t>
              </w:r>
            </w:hyperlink>
            <w:hyperlink r:id="rId72">
              <w:r>
                <w:rPr>
                  <w:rStyle w:val="InternetLink"/>
                  <w:rFonts w:ascii="Arial;sans-serif" w:hAnsi="Arial;sans-serif"/>
                  <w:b w:val="false"/>
                  <w:color w:val="000080"/>
                  <w:sz w:val="18"/>
                </w:rPr>
                <w:t>9</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73">
              <w:r>
                <w:rPr>
                  <w:rStyle w:val="InternetLink"/>
                  <w:rFonts w:ascii="Arial;sans-serif" w:hAnsi="Arial;sans-serif"/>
                  <w:b w:val="false"/>
                  <w:color w:val="000000"/>
                  <w:sz w:val="18"/>
                </w:rPr>
                <w:t>Employment Letter with Sally Shanks dated August 23, 2017 (incorporated by reference to Exhibit 10.17 of WillScot Corporation’s Annual Report on Form 10-K, filed March 16, 2018).</w:t>
              </w:r>
            </w:hyperlink>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4">
              <w:r>
                <w:rPr>
                  <w:rStyle w:val="InternetLink"/>
                  <w:rFonts w:ascii="Arial;sans-serif" w:hAnsi="Arial;sans-serif"/>
                  <w:b w:val="false"/>
                  <w:color w:val="000080"/>
                  <w:sz w:val="18"/>
                </w:rPr>
                <w:t>10.</w:t>
              </w:r>
            </w:hyperlink>
            <w:hyperlink r:id="rId75">
              <w:r>
                <w:rPr>
                  <w:rStyle w:val="InternetLink"/>
                  <w:rFonts w:ascii="Arial;sans-serif" w:hAnsi="Arial;sans-serif"/>
                  <w:b w:val="false"/>
                  <w:color w:val="000080"/>
                  <w:sz w:val="18"/>
                </w:rPr>
                <w:t>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76">
              <w:r>
                <w:rPr>
                  <w:rStyle w:val="InternetLink"/>
                  <w:rFonts w:ascii="Arial;sans-serif" w:hAnsi="Arial;sans-serif"/>
                  <w:b w:val="false"/>
                  <w:color w:val="000000"/>
                  <w:sz w:val="18"/>
                </w:rPr>
                <w:t>Amended Employment Letter with Sally Shanks dated March 18, 2019 (incorporated by reference to Exhibit 10.1 to WillScot Corporation’s Current Report on Form 8-K, filed March 21, 2019).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16840"/>
                <wp:effectExtent l="0" t="0" r="0" b="0"/>
                <wp:wrapNone/>
                <wp:docPr id="165" name="Frame1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142</w:t>
                      </w:r>
                    </w:p>
                  </w:txbxContent>
                </v:textbox>
                <w10:wrap type="none"/>
              </v:rect>
            </w:pict>
          </mc:Fallback>
        </mc:AlternateContent>
      </w:r>
    </w:p>
    <w:p>
      <w:pPr>
        <w:pStyle w:val="TextBody"/>
        <w:bidi w:val="0"/>
        <w:spacing w:before="0" w:after="60"/>
        <w:jc w:val="left"/>
        <w:rPr/>
      </w:pPr>
      <w:r>
        <w:rPr/>
      </w:r>
    </w:p>
    <w:tbl>
      <w:tblPr>
        <w:tblW w:w="10205" w:type="dxa"/>
        <w:jc w:val="center"/>
        <w:tblInd w:w="0" w:type="dxa"/>
        <w:tblLayout w:type="fixed"/>
        <w:tblCellMar>
          <w:top w:w="28" w:type="dxa"/>
          <w:left w:w="28" w:type="dxa"/>
          <w:bottom w:w="28" w:type="dxa"/>
          <w:right w:w="28" w:type="dxa"/>
        </w:tblCellMar>
      </w:tblPr>
      <w:tblGrid>
        <w:gridCol w:w="218"/>
        <w:gridCol w:w="191"/>
        <w:gridCol w:w="194"/>
        <w:gridCol w:w="109"/>
        <w:gridCol w:w="109"/>
        <w:gridCol w:w="109"/>
        <w:gridCol w:w="2715"/>
        <w:gridCol w:w="2715"/>
        <w:gridCol w:w="3845"/>
      </w:tblGrid>
      <w:tr>
        <w:trPr/>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6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77">
              <w:r>
                <w:rPr>
                  <w:rStyle w:val="InternetLink"/>
                  <w:rFonts w:ascii="Arial;sans-serif" w:hAnsi="Arial;sans-serif"/>
                  <w:b w:val="false"/>
                  <w:color w:val="000080"/>
                  <w:sz w:val="18"/>
                </w:rPr>
                <w:t>10.</w:t>
              </w:r>
            </w:hyperlink>
            <w:hyperlink r:id="rId78">
              <w:r>
                <w:rPr>
                  <w:rStyle w:val="InternetLink"/>
                  <w:rFonts w:ascii="Arial;sans-serif" w:hAnsi="Arial;sans-serif"/>
                  <w:b w:val="false"/>
                  <w:color w:val="000080"/>
                  <w:sz w:val="18"/>
                </w:rPr>
                <w:t>11</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79">
              <w:r>
                <w:rPr>
                  <w:rStyle w:val="InternetLink"/>
                  <w:rFonts w:ascii="Arial;sans-serif" w:hAnsi="Arial;sans-serif"/>
                  <w:b w:val="false"/>
                  <w:color w:val="000000"/>
                  <w:sz w:val="18"/>
                </w:rPr>
                <w:t>Form of Performance-Based Restricted Stock Unit Award Agreement (incorporated by reference to Exhibit 10.3 of the Company’s Current Report on Form 8-K, filed September 8, 2021).</w:t>
              </w:r>
            </w:hyperlink>
          </w:p>
        </w:tc>
      </w:tr>
      <w:tr>
        <w:trPr/>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0">
              <w:r>
                <w:rPr>
                  <w:rStyle w:val="InternetLink"/>
                  <w:rFonts w:ascii="Arial;sans-serif" w:hAnsi="Arial;sans-serif"/>
                  <w:b w:val="false"/>
                  <w:color w:val="000080"/>
                  <w:sz w:val="18"/>
                </w:rPr>
                <w:t>10.</w:t>
              </w:r>
            </w:hyperlink>
            <w:hyperlink r:id="rId81">
              <w:r>
                <w:rPr>
                  <w:rStyle w:val="InternetLink"/>
                  <w:rFonts w:ascii="Arial;sans-serif" w:hAnsi="Arial;sans-serif"/>
                  <w:b w:val="false"/>
                  <w:color w:val="000080"/>
                  <w:sz w:val="18"/>
                </w:rPr>
                <w:t>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2">
              <w:r>
                <w:rPr>
                  <w:rStyle w:val="InternetLink"/>
                  <w:rFonts w:ascii="Arial;sans-serif" w:hAnsi="Arial;sans-serif"/>
                  <w:b w:val="false"/>
                  <w:color w:val="000000"/>
                  <w:sz w:val="18"/>
                </w:rPr>
                <w:t>First Amendment to the ABL Credit Agreement, dated December 2, 2020, among Williams Scotsman International, Inc. and Bank of America, N.A., as Administrative Agent (incorporated by reference to Exhibit 10.16 of the Company’s Annual Report on Form 10-K, filed February 25, 2022).</w:t>
              </w:r>
            </w:hyperlink>
          </w:p>
        </w:tc>
      </w:tr>
      <w:tr>
        <w:trPr/>
        <w:tc>
          <w:tcPr>
            <w:tcW w:w="6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83">
              <w:r>
                <w:rPr>
                  <w:rStyle w:val="InternetLink"/>
                  <w:rFonts w:ascii="Arial;sans-serif" w:hAnsi="Arial;sans-serif"/>
                  <w:b w:val="false"/>
                  <w:color w:val="000080"/>
                  <w:sz w:val="18"/>
                </w:rPr>
                <w:t>10.</w:t>
              </w:r>
            </w:hyperlink>
            <w:hyperlink r:id="rId84">
              <w:r>
                <w:rPr>
                  <w:rStyle w:val="InternetLink"/>
                  <w:rFonts w:ascii="Arial;sans-serif" w:hAnsi="Arial;sans-serif"/>
                  <w:b w:val="false"/>
                  <w:color w:val="000080"/>
                  <w:sz w:val="18"/>
                </w:rPr>
                <w:t>13</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85">
              <w:r>
                <w:rPr>
                  <w:rStyle w:val="InternetLink"/>
                  <w:rFonts w:ascii="Arial;sans-serif" w:hAnsi="Arial;sans-serif"/>
                  <w:b w:val="false"/>
                  <w:color w:val="000000"/>
                  <w:sz w:val="18"/>
                </w:rPr>
                <w:t>LIBOR Transition Amendment, dated December 6, 2021, among Williams Scotsman International, Inc. and Bank of America, N.A., as Administrative Agent (incorporated by reference to Exhibit 10.1 to the Company’s Current Report on Form 8-K, filed December 13, 2021).</w:t>
              </w:r>
            </w:hyperlink>
          </w:p>
        </w:tc>
      </w:tr>
      <w:tr>
        <w:trPr/>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6">
              <w:r>
                <w:rPr>
                  <w:rStyle w:val="InternetLink"/>
                  <w:rFonts w:ascii="Arial;sans-serif" w:hAnsi="Arial;sans-serif"/>
                  <w:b w:val="false"/>
                  <w:color w:val="000080"/>
                  <w:sz w:val="18"/>
                </w:rPr>
                <w:t>10.</w:t>
              </w:r>
            </w:hyperlink>
            <w:hyperlink r:id="rId87">
              <w:r>
                <w:rPr>
                  <w:rStyle w:val="InternetLink"/>
                  <w:rFonts w:ascii="Arial;sans-serif" w:hAnsi="Arial;sans-serif"/>
                  <w:b w:val="false"/>
                  <w:color w:val="000080"/>
                  <w:sz w:val="18"/>
                </w:rPr>
                <w:t>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8">
              <w:r>
                <w:rPr>
                  <w:rStyle w:val="InternetLink"/>
                  <w:rFonts w:ascii="Arial;sans-serif" w:hAnsi="Arial;sans-serif"/>
                  <w:b w:val="false"/>
                  <w:color w:val="000000"/>
                  <w:sz w:val="18"/>
                </w:rPr>
                <w:t>Third Amendment to the ABL Credit Agreement, dated December 16, 2021, by and among Williams Scotsman International, Inc., the other loan parties party thereto and Bank of America, N.A., as administrative agent and collateral agent for itself and the other secured parties (incorporated by reference to Exhibit 10.1 to the Company’s Current Report on Form 8-K, filed December 16, 2021).</w:t>
              </w:r>
            </w:hyperlink>
          </w:p>
        </w:tc>
      </w:tr>
      <w:tr>
        <w:trPr/>
        <w:tc>
          <w:tcPr>
            <w:tcW w:w="6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89">
              <w:r>
                <w:rPr>
                  <w:rStyle w:val="InternetLink"/>
                  <w:rFonts w:ascii="Arial;sans-serif" w:hAnsi="Arial;sans-serif"/>
                  <w:b w:val="false"/>
                  <w:color w:val="000080"/>
                  <w:sz w:val="18"/>
                </w:rPr>
                <w:t>10.</w:t>
              </w:r>
            </w:hyperlink>
            <w:hyperlink r:id="rId90">
              <w:r>
                <w:rPr>
                  <w:rStyle w:val="InternetLink"/>
                  <w:rFonts w:ascii="Arial;sans-serif" w:hAnsi="Arial;sans-serif"/>
                  <w:b w:val="false"/>
                  <w:color w:val="000080"/>
                  <w:sz w:val="18"/>
                </w:rPr>
                <w:t>15</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91">
              <w:r>
                <w:rPr>
                  <w:rStyle w:val="InternetLink"/>
                  <w:rFonts w:ascii="Arial;sans-serif" w:hAnsi="Arial;sans-serif"/>
                  <w:b w:val="false"/>
                  <w:color w:val="000000"/>
                  <w:sz w:val="18"/>
                </w:rPr>
                <w:t>Fourth Amendment to the ABL Credit Agreement, dated June 30, 2022, by and among Williams Scotsman, Inc., Williams Scotsman Holdings Corp., the other Loan Parties thereto and Bank of America, N.A. as administrative agent, collateral agent and swingline lender (incorporated by reference to Exhibit 10.1 to the Company’s Current Report on Form 8-K, filed July 1, 2022).</w:t>
              </w:r>
            </w:hyperlink>
          </w:p>
        </w:tc>
      </w:tr>
      <w:tr>
        <w:trPr/>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92">
              <w:r>
                <w:rPr>
                  <w:rStyle w:val="InternetLink"/>
                  <w:rFonts w:ascii="Arial;sans-serif" w:hAnsi="Arial;sans-serif"/>
                  <w:b w:val="false"/>
                  <w:color w:val="000080"/>
                  <w:sz w:val="18"/>
                </w:rPr>
                <w:t>10.</w:t>
              </w:r>
            </w:hyperlink>
            <w:hyperlink r:id="rId93">
              <w:r>
                <w:rPr>
                  <w:rStyle w:val="InternetLink"/>
                  <w:rFonts w:ascii="Arial;sans-serif" w:hAnsi="Arial;sans-serif"/>
                  <w:b w:val="false"/>
                  <w:color w:val="000080"/>
                  <w:sz w:val="18"/>
                </w:rPr>
                <w:t>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94">
              <w:r>
                <w:rPr>
                  <w:rStyle w:val="InternetLink"/>
                  <w:rFonts w:ascii="Arial;sans-serif" w:hAnsi="Arial;sans-serif"/>
                  <w:b w:val="false"/>
                  <w:color w:val="000080"/>
                  <w:sz w:val="18"/>
                </w:rPr>
                <w:t xml:space="preserve">Amended and Restated Employment Agreement with Graeme Parkes dated February 16, 2023 (incorporated by reference to Exhibit 10.18 of the Company's Annual Report on Form 10-K, filed </w:t>
              </w:r>
            </w:hyperlink>
            <w:hyperlink r:id="rId95">
              <w:r>
                <w:rPr>
                  <w:rStyle w:val="InternetLink"/>
                  <w:rFonts w:ascii="Arial;sans-serif" w:hAnsi="Arial;sans-serif"/>
                  <w:b w:val="false"/>
                  <w:color w:val="000080"/>
                  <w:sz w:val="18"/>
                </w:rPr>
                <w:t>February</w:t>
              </w:r>
            </w:hyperlink>
            <w:hyperlink r:id="rId96">
              <w:r>
                <w:rPr>
                  <w:rStyle w:val="InternetLink"/>
                  <w:rFonts w:ascii="Arial;sans-serif" w:hAnsi="Arial;sans-serif"/>
                  <w:b w:val="false"/>
                  <w:color w:val="000080"/>
                  <w:sz w:val="18"/>
                </w:rPr>
                <w:t xml:space="preserve"> 22, 2023).</w:t>
              </w:r>
            </w:hyperlink>
          </w:p>
        </w:tc>
      </w:tr>
      <w:tr>
        <w:trPr/>
        <w:tc>
          <w:tcPr>
            <w:tcW w:w="6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97">
              <w:r>
                <w:rPr>
                  <w:rStyle w:val="InternetLink"/>
                  <w:rFonts w:ascii="Arial;sans-serif" w:hAnsi="Arial;sans-serif"/>
                  <w:b w:val="false"/>
                  <w:color w:val="000080"/>
                  <w:sz w:val="18"/>
                </w:rPr>
                <w:t>10.</w:t>
              </w:r>
            </w:hyperlink>
            <w:hyperlink r:id="rId98">
              <w:r>
                <w:rPr>
                  <w:rStyle w:val="InternetLink"/>
                  <w:rFonts w:ascii="Arial;sans-serif" w:hAnsi="Arial;sans-serif"/>
                  <w:b w:val="false"/>
                  <w:color w:val="000080"/>
                  <w:sz w:val="18"/>
                </w:rPr>
                <w:t>17</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99">
              <w:r>
                <w:rPr>
                  <w:rStyle w:val="InternetLink"/>
                  <w:rFonts w:ascii="Arial;sans-serif" w:hAnsi="Arial;sans-serif"/>
                  <w:b w:val="false"/>
                  <w:color w:val="000000"/>
                  <w:sz w:val="18"/>
                </w:rPr>
                <w:t>Employment agreement with Felicia Gorcyca (incorporated by reference to Exhibit 10.1 to the Company’s Quarterly Report on Form 10-Q, filed August 3, 2023).</w:t>
              </w:r>
            </w:hyperlink>
          </w:p>
        </w:tc>
      </w:tr>
      <w:tr>
        <w:trPr/>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1018-10k2023.htm">
              <w:r>
                <w:rPr>
                  <w:rStyle w:val="InternetLink"/>
                  <w:rFonts w:ascii="Arial;sans-serif" w:hAnsi="Arial;sans-serif"/>
                  <w:b w:val="false"/>
                  <w:color w:val="000000"/>
                  <w:sz w:val="18"/>
                </w:rPr>
                <w:t>10.18*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1018-10k2023.htm">
              <w:r>
                <w:rPr>
                  <w:rStyle w:val="InternetLink"/>
                  <w:rFonts w:ascii="Arial;sans-serif" w:hAnsi="Arial;sans-serif"/>
                  <w:b w:val="false"/>
                  <w:color w:val="000000"/>
                  <w:sz w:val="18"/>
                </w:rPr>
                <w:t>Form of Performance-Based Restricted Stock Unit Award Agreement</w:t>
              </w:r>
            </w:hyperlink>
          </w:p>
        </w:tc>
      </w:tr>
      <w:tr>
        <w:trPr/>
        <w:tc>
          <w:tcPr>
            <w:tcW w:w="6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r:id="rId100">
              <w:r>
                <w:rPr>
                  <w:rStyle w:val="InternetLink"/>
                  <w:rFonts w:ascii="Arial;sans-serif" w:hAnsi="Arial;sans-serif"/>
                  <w:b w:val="false"/>
                  <w:color w:val="000000"/>
                  <w:sz w:val="18"/>
                </w:rPr>
                <w:t>14.1</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r:id="rId101">
              <w:r>
                <w:rPr>
                  <w:rStyle w:val="InternetLink"/>
                  <w:rFonts w:ascii="Arial;sans-serif" w:hAnsi="Arial;sans-serif"/>
                  <w:b w:val="false"/>
                  <w:color w:val="000000"/>
                  <w:sz w:val="18"/>
                </w:rPr>
                <w:t>Code of Ethics for the Chief Executive Officer and Senior Financial Officers, effective November 14, 2019 (incorporated by reference to Exhibit 14.1 of WillScot Corporation’s Current Report on Form 8-K, filed November 15, 2019).</w:t>
              </w:r>
            </w:hyperlink>
          </w:p>
        </w:tc>
      </w:tr>
      <w:tr>
        <w:trPr/>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211-10k2023.htm">
              <w:r>
                <w:rPr>
                  <w:rStyle w:val="InternetLink"/>
                  <w:rFonts w:ascii="Arial;sans-serif" w:hAnsi="Arial;sans-serif"/>
                  <w:b w:val="false"/>
                  <w:color w:val="000080"/>
                  <w:sz w:val="18"/>
                </w:rPr>
                <w:t>21.1</w:t>
              </w:r>
            </w:hyperlink>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211-10k2023.htm">
              <w:r>
                <w:rPr>
                  <w:rStyle w:val="InternetLink"/>
                  <w:rFonts w:ascii="Arial;sans-serif" w:hAnsi="Arial;sans-serif"/>
                  <w:b w:val="false"/>
                  <w:color w:val="000000"/>
                  <w:sz w:val="18"/>
                </w:rPr>
                <w:t>Subsidiaries of the registrant</w:t>
              </w:r>
            </w:hyperlink>
          </w:p>
        </w:tc>
      </w:tr>
      <w:tr>
        <w:trPr/>
        <w:tc>
          <w:tcPr>
            <w:tcW w:w="6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ex231-10k2023.htm">
              <w:r>
                <w:rPr>
                  <w:rStyle w:val="InternetLink"/>
                  <w:rFonts w:ascii="Arial;sans-serif" w:hAnsi="Arial;sans-serif"/>
                  <w:b w:val="false"/>
                  <w:color w:val="000080"/>
                  <w:sz w:val="18"/>
                </w:rPr>
                <w:t>23.1</w:t>
              </w:r>
            </w:hyperlink>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231-10k2023.htm">
              <w:r>
                <w:rPr>
                  <w:rStyle w:val="InternetLink"/>
                  <w:rFonts w:ascii="Arial;sans-serif" w:hAnsi="Arial;sans-serif"/>
                  <w:b w:val="false"/>
                  <w:color w:val="000000"/>
                  <w:sz w:val="18"/>
                </w:rPr>
                <w:t>Consent of Ernst &amp; Young LLP</w:t>
              </w:r>
            </w:hyperlink>
          </w:p>
        </w:tc>
      </w:tr>
      <w:tr>
        <w:trPr/>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311-q42023.htm">
              <w:r>
                <w:rPr>
                  <w:rStyle w:val="InternetLink"/>
                  <w:rFonts w:ascii="Arial;sans-serif" w:hAnsi="Arial;sans-serif"/>
                  <w:b w:val="false"/>
                  <w:color w:val="000080"/>
                  <w:sz w:val="18"/>
                </w:rPr>
                <w:t>31.1</w:t>
              </w:r>
            </w:hyperlink>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1-q42023.htm">
              <w:r>
                <w:rPr>
                  <w:rStyle w:val="InternetLink"/>
                  <w:rFonts w:ascii="Arial;sans-serif" w:hAnsi="Arial;sans-serif"/>
                  <w:b w:val="false"/>
                  <w:color w:val="000000"/>
                  <w:sz w:val="18"/>
                </w:rPr>
                <w:t>Certification of Chief Executive Officer Pursuant to Rules 13a-14(a) and 15d-14(a) under the Securities Exchange Act of 1934, as Adopted Pursuant to Section 302 of the Sarbanes-Oxley Act</w:t>
              </w:r>
            </w:hyperlink>
          </w:p>
        </w:tc>
      </w:tr>
      <w:tr>
        <w:trPr/>
        <w:tc>
          <w:tcPr>
            <w:tcW w:w="6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ex312-q42023.htm">
              <w:r>
                <w:rPr>
                  <w:rStyle w:val="InternetLink"/>
                  <w:rFonts w:ascii="Arial;sans-serif" w:hAnsi="Arial;sans-serif"/>
                  <w:b w:val="false"/>
                  <w:color w:val="000080"/>
                  <w:sz w:val="18"/>
                </w:rPr>
                <w:t>31.2</w:t>
              </w:r>
            </w:hyperlink>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312-q42023.htm">
              <w:r>
                <w:rPr>
                  <w:rStyle w:val="InternetLink"/>
                  <w:rFonts w:ascii="Arial;sans-serif" w:hAnsi="Arial;sans-serif"/>
                  <w:b w:val="false"/>
                  <w:color w:val="000000"/>
                  <w:sz w:val="18"/>
                </w:rPr>
                <w:t xml:space="preserve">Certification of Chief Financial Officer Pursuant to Rules 13a-14(a) and 15d-14(a) under the Securities Exchange Act of 1934, as adopted pursuant to Section 302 of the Sarbanes-Oxley Act </w:t>
              </w:r>
            </w:hyperlink>
          </w:p>
        </w:tc>
      </w:tr>
      <w:tr>
        <w:trPr/>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321-q42023.htm">
              <w:r>
                <w:rPr>
                  <w:rStyle w:val="InternetLink"/>
                  <w:rFonts w:ascii="Arial;sans-serif" w:hAnsi="Arial;sans-serif"/>
                  <w:b w:val="false"/>
                  <w:color w:val="000080"/>
                  <w:sz w:val="18"/>
                </w:rPr>
                <w:t>32.1</w:t>
              </w:r>
            </w:hyperlink>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1-q42023.htm">
              <w:r>
                <w:rPr>
                  <w:rStyle w:val="InternetLink"/>
                  <w:rFonts w:ascii="Arial;sans-serif" w:hAnsi="Arial;sans-serif"/>
                  <w:b w:val="false"/>
                  <w:color w:val="000000"/>
                  <w:sz w:val="18"/>
                </w:rPr>
                <w:t>Certification of Chief Executive Officer Pursuant to 18 USC Section 1350, as adopted pursuant to Section 906 of the Sarbanes-Oxley Act</w:t>
              </w:r>
            </w:hyperlink>
          </w:p>
        </w:tc>
      </w:tr>
      <w:tr>
        <w:trPr/>
        <w:tc>
          <w:tcPr>
            <w:tcW w:w="603"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pPr>
            <w:hyperlink w:anchor="ex322-q42023.htm">
              <w:r>
                <w:rPr>
                  <w:rStyle w:val="InternetLink"/>
                  <w:rFonts w:ascii="Arial;sans-serif" w:hAnsi="Arial;sans-serif"/>
                  <w:b w:val="false"/>
                  <w:color w:val="000080"/>
                  <w:sz w:val="18"/>
                </w:rPr>
                <w:t>32.2</w:t>
              </w:r>
            </w:hyperlink>
            <w:r>
              <w:rPr>
                <w:rFonts w:ascii="Arial;sans-serif" w:hAnsi="Arial;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both"/>
              <w:rPr/>
            </w:pPr>
            <w:hyperlink w:anchor="ex322-q42023.htm">
              <w:r>
                <w:rPr>
                  <w:rStyle w:val="InternetLink"/>
                  <w:rFonts w:ascii="Arial;sans-serif" w:hAnsi="Arial;sans-serif"/>
                  <w:b w:val="false"/>
                  <w:color w:val="000000"/>
                  <w:sz w:val="18"/>
                </w:rPr>
                <w:t>Certification of Chief Financial Officer Pursuant to 18 USC Section 1350, as adopted pursuant to Section 906 of the Sarbanes-Oxley Act</w:t>
              </w:r>
            </w:hyperlink>
          </w:p>
        </w:tc>
      </w:tr>
      <w:tr>
        <w:trPr/>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971-clawbackpolicy.htm">
              <w:r>
                <w:rPr>
                  <w:rStyle w:val="InternetLink"/>
                  <w:rFonts w:ascii="Arial;sans-serif" w:hAnsi="Arial;sans-serif"/>
                  <w:b w:val="false"/>
                  <w:color w:val="000000"/>
                  <w:sz w:val="18"/>
                </w:rPr>
                <w:t>97.1*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971-clawbackpolicy.htm">
              <w:r>
                <w:rPr>
                  <w:rStyle w:val="InternetLink"/>
                  <w:rFonts w:ascii="Arial;sans-serif" w:hAnsi="Arial;sans-serif"/>
                  <w:b w:val="false"/>
                  <w:color w:val="000080"/>
                  <w:sz w:val="18"/>
                </w:rPr>
                <w:t>C</w:t>
              </w:r>
            </w:hyperlink>
            <w:hyperlink w:anchor="ex971-clawbackpolicy.htm">
              <w:r>
                <w:rPr>
                  <w:rStyle w:val="InternetLink"/>
                  <w:rFonts w:ascii="Arial;sans-serif" w:hAnsi="Arial;sans-serif"/>
                  <w:b w:val="false"/>
                  <w:color w:val="000080"/>
                  <w:sz w:val="18"/>
                </w:rPr>
                <w:t xml:space="preserve">ompensation Recoupment </w:t>
              </w:r>
            </w:hyperlink>
            <w:hyperlink w:anchor="ex971-clawbackpolicy.htm">
              <w:r>
                <w:rPr>
                  <w:rStyle w:val="InternetLink"/>
                  <w:rFonts w:ascii="Arial;sans-serif" w:hAnsi="Arial;sans-serif"/>
                  <w:b w:val="false"/>
                  <w:color w:val="000080"/>
                  <w:sz w:val="18"/>
                </w:rPr>
                <w:t>Policy</w:t>
              </w:r>
            </w:hyperlink>
          </w:p>
        </w:tc>
      </w:tr>
      <w:tr>
        <w:trPr/>
        <w:tc>
          <w:tcPr>
            <w:tcW w:w="60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Document Set for the consolidated financial statements and accompanying notes in Part II, Item 8, "Financial Statements and Supplementary Data" of this Annual Report on Form 10-K.</w:t>
            </w:r>
          </w:p>
        </w:tc>
      </w:tr>
      <w:tr>
        <w:trPr/>
        <w:tc>
          <w:tcPr>
            <w:tcW w:w="6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8"/>
              </w:rPr>
            </w:pPr>
            <w:r>
              <w:rPr>
                <w:rFonts w:ascii="Arial;sans-serif" w:hAnsi="Arial;sans-serif"/>
                <w:b w:val="false"/>
                <w:color w:val="000000"/>
                <w:sz w:val="18"/>
              </w:rPr>
              <w:t>Inline XBRL for the cover page of this Annual Report on Form 10-K, included in the Exhibit 101 Inline XBRL Document Set.</w:t>
            </w:r>
          </w:p>
        </w:tc>
      </w:tr>
    </w:tbl>
    <w:p>
      <w:pPr>
        <w:pStyle w:val="TextBody"/>
        <w:bidi w:val="0"/>
        <w:spacing w:lineRule="auto" w:line="276" w:before="120" w:after="60"/>
        <w:jc w:val="both"/>
        <w:rPr>
          <w:rFonts w:ascii="Arial;sans-serif" w:hAnsi="Arial;sans-serif"/>
          <w:b w:val="false"/>
          <w:color w:val="000000"/>
          <w:sz w:val="18"/>
        </w:rPr>
      </w:pPr>
      <w:r>
        <w:rPr>
          <w:rFonts w:ascii="Arial;sans-serif" w:hAnsi="Arial;sans-serif"/>
          <w:b w:val="false"/>
          <w:color w:val="000000"/>
          <w:sz w:val="18"/>
        </w:rPr>
        <w:t xml:space="preserve">* Filed herewith </w:t>
      </w:r>
    </w:p>
    <w:p>
      <w:pPr>
        <w:pStyle w:val="TextBody"/>
        <w:bidi w:val="0"/>
        <w:spacing w:lineRule="auto" w:line="276" w:before="120" w:after="60"/>
        <w:jc w:val="both"/>
        <w:rPr>
          <w:rFonts w:ascii="Arial;sans-serif" w:hAnsi="Arial;sans-serif"/>
          <w:b w:val="false"/>
          <w:color w:val="000000"/>
          <w:sz w:val="18"/>
        </w:rPr>
      </w:pPr>
      <w:r>
        <w:rPr>
          <w:rFonts w:ascii="Arial;sans-serif" w:hAnsi="Arial;sans-serif"/>
          <w:b w:val="false"/>
          <w:color w:val="000000"/>
          <w:sz w:val="18"/>
        </w:rPr>
        <w:t>** Furnished (and not filed) herewith pursuant to Item 601(b)(32)(ii) of Regulation S-K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6840"/>
                <wp:effectExtent l="0" t="0" r="0" b="0"/>
                <wp:wrapNone/>
                <wp:docPr id="166" name="Frame1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143</w:t>
                      </w:r>
                    </w:p>
                  </w:txbxContent>
                </v:textbox>
                <w10:wrap type="none"/>
              </v:rect>
            </w:pict>
          </mc:Fallback>
        </mc:AlternateContent>
      </w:r>
    </w:p>
    <w:p>
      <w:pPr>
        <w:pStyle w:val="TextBody"/>
        <w:bidi w:val="0"/>
        <w:spacing w:before="0" w:after="60"/>
        <w:jc w:val="left"/>
        <w:rPr/>
      </w:pPr>
      <w:r>
        <w:rPr/>
      </w:r>
    </w:p>
    <w:p>
      <w:pPr>
        <w:pStyle w:val="TextBody"/>
        <w:bidi w:val="0"/>
        <w:spacing w:lineRule="auto" w:line="288" w:before="0" w:after="60"/>
        <w:jc w:val="center"/>
        <w:rPr>
          <w:rFonts w:ascii="Arial;sans-serif" w:hAnsi="Arial;sans-serif"/>
          <w:b w:val="false"/>
          <w:color w:val="1D2758"/>
          <w:sz w:val="26"/>
        </w:rPr>
      </w:pPr>
      <w:r>
        <w:rPr>
          <w:rFonts w:ascii="Arial;sans-serif" w:hAnsi="Arial;sans-serif"/>
          <w:b w:val="false"/>
          <w:color w:val="1D2758"/>
          <w:sz w:val="26"/>
        </w:rPr>
        <w:t>Signatures</w:t>
      </w:r>
    </w:p>
    <w:p>
      <w:pPr>
        <w:pStyle w:val="TextBody"/>
        <w:bidi w:val="0"/>
        <w:spacing w:before="0" w:after="60"/>
        <w:ind w:left="0" w:right="0" w:firstLine="720"/>
        <w:jc w:val="both"/>
        <w:rPr/>
      </w:pPr>
      <w:r>
        <w:rPr/>
      </w:r>
    </w:p>
    <w:p>
      <w:pPr>
        <w:pStyle w:val="TextBody"/>
        <w:bidi w:val="0"/>
        <w:spacing w:lineRule="auto" w:line="288" w:before="0" w:after="100"/>
        <w:ind w:left="0" w:right="0" w:firstLine="720"/>
        <w:jc w:val="both"/>
        <w:rPr>
          <w:rFonts w:ascii="Arial;sans-serif" w:hAnsi="Arial;sans-serif"/>
          <w:b w:val="false"/>
          <w:color w:val="000000"/>
          <w:sz w:val="18"/>
        </w:rPr>
      </w:pPr>
      <w:r>
        <w:rPr>
          <w:rFonts w:ascii="Arial;sans-serif" w:hAnsi="Arial;sans-serif"/>
          <w:b w:val="false"/>
          <w:color w:val="000000"/>
          <w:sz w:val="18"/>
        </w:rPr>
        <w:t>Pursuant to the requirements of the Section 13 or Section 15(d) of the Securities Exchange Act of 1934, the registrant has duly caused this report to be signed on its behalf by the undersigned, thereunto duly authorized.</w:t>
      </w:r>
    </w:p>
    <w:tbl>
      <w:tblPr>
        <w:tblW w:w="9684" w:type="dxa"/>
        <w:jc w:val="right"/>
        <w:tblInd w:w="0" w:type="dxa"/>
        <w:tblLayout w:type="fixed"/>
        <w:tblCellMar>
          <w:top w:w="28" w:type="dxa"/>
          <w:left w:w="28" w:type="dxa"/>
          <w:bottom w:w="28" w:type="dxa"/>
          <w:right w:w="28" w:type="dxa"/>
        </w:tblCellMar>
      </w:tblPr>
      <w:tblGrid>
        <w:gridCol w:w="217"/>
        <w:gridCol w:w="190"/>
        <w:gridCol w:w="192"/>
        <w:gridCol w:w="534"/>
        <w:gridCol w:w="534"/>
        <w:gridCol w:w="536"/>
        <w:gridCol w:w="494"/>
        <w:gridCol w:w="494"/>
        <w:gridCol w:w="494"/>
        <w:gridCol w:w="1746"/>
        <w:gridCol w:w="1746"/>
        <w:gridCol w:w="2507"/>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WillScot Mobile Mini Holdings Corp.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Hezron Timothy Lopez</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Name: Hezron Timothy Lopez</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Title: Executive Vice President, Chief Legal &amp; Compliance Officer &amp; ESG</w:t>
            </w:r>
          </w:p>
        </w:tc>
      </w:tr>
    </w:tbl>
    <w:p>
      <w:pPr>
        <w:pStyle w:val="TextBody"/>
        <w:bidi w:val="0"/>
        <w:spacing w:before="0" w:after="60"/>
        <w:ind w:left="0" w:right="0" w:firstLine="720"/>
        <w:jc w:val="left"/>
        <w:rPr/>
      </w:pPr>
      <w:r>
        <w:rPr/>
      </w:r>
    </w:p>
    <w:p>
      <w:pPr>
        <w:pStyle w:val="TextBody"/>
        <w:bidi w:val="0"/>
        <w:spacing w:lineRule="auto" w:line="288" w:before="0" w:after="100"/>
        <w:ind w:left="0" w:right="0" w:firstLine="72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this report has been signed below by the following persons on behalf of the registrant and in the capacities and on the dates indicated.</w:t>
      </w:r>
    </w:p>
    <w:tbl>
      <w:tblPr>
        <w:tblW w:w="10163" w:type="dxa"/>
        <w:jc w:val="left"/>
        <w:tblInd w:w="0" w:type="dxa"/>
        <w:tblLayout w:type="fixed"/>
        <w:tblCellMar>
          <w:top w:w="28" w:type="dxa"/>
          <w:left w:w="28" w:type="dxa"/>
          <w:bottom w:w="28" w:type="dxa"/>
          <w:right w:w="28" w:type="dxa"/>
        </w:tblCellMar>
      </w:tblPr>
      <w:tblGrid>
        <w:gridCol w:w="911"/>
        <w:gridCol w:w="802"/>
        <w:gridCol w:w="807"/>
        <w:gridCol w:w="109"/>
        <w:gridCol w:w="109"/>
        <w:gridCol w:w="109"/>
        <w:gridCol w:w="1772"/>
        <w:gridCol w:w="1772"/>
        <w:gridCol w:w="1796"/>
        <w:gridCol w:w="109"/>
        <w:gridCol w:w="109"/>
        <w:gridCol w:w="109"/>
        <w:gridCol w:w="480"/>
        <w:gridCol w:w="480"/>
        <w:gridCol w:w="689"/>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Date</w:t>
            </w:r>
          </w:p>
        </w:tc>
      </w:tr>
      <w:tr>
        <w:trPr/>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BRADLEY L. SOULTZ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Bradley L. Soultz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President and 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Timothy D. Boswell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SALLY J. SHANKS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Chief Accounting Officer </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Sally J. Shanks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ERIK OLSSON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Erik Olsson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MARK S. BARTLETT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 S. Bartlett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ERIKA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Erika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GERARD E. HOLTHAUS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Gerard E. Holthaus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NATALIA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Natalia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REBECCA L. OWEN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Rebecca L. Owen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JEFF SAGANSKY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Jeff Sagansky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MICHAEL W. UPCHURCH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20, 2024</w:t>
            </w:r>
          </w:p>
        </w:tc>
      </w:tr>
      <w:tr>
        <w:trPr/>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W. Upchurch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4.1</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16840"/>
                <wp:effectExtent l="0" t="0" r="0" b="0"/>
                <wp:wrapNone/>
                <wp:docPr id="167" name="Frame1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6.95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6"/>
                        </w:rPr>
                      </w:pPr>
                      <w:r>
                        <w:rPr>
                          <w:rFonts w:ascii="Arial;sans-serif" w:hAnsi="Arial;sans-serif"/>
                          <w:b w:val="false"/>
                          <w:color w:val="000000"/>
                          <w:sz w:val="16"/>
                        </w:rPr>
                        <w:t>144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NUMBER                    SHARES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SEE REVERSE FOR CERTAIN DEFINITIONS    CUSIP 971378104</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WILLSCOT MOBILE MINI HOLDINGS CORP.</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INCORPORATED UNDER THE LAWS OF THE STATE OF DELAWARE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COMMON STOCK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18"/>
        </w:rPr>
        <w:t xml:space="preserve">This Certifies that _______________ is the owner of ______________ fully paid and non-assessable shares of common stock of the par of the par value of $0.0001 each of </w:t>
      </w:r>
      <w:r>
        <w:rPr>
          <w:rFonts w:ascii="Arial;sans-serif" w:hAnsi="Arial;sans-serif"/>
          <w:b/>
          <w:color w:val="000000"/>
          <w:sz w:val="18"/>
        </w:rPr>
        <w:t>WILLSCOT MOBILE MINI HOLDINGS CORP.</w:t>
      </w:r>
      <w:r>
        <w:rPr>
          <w:rFonts w:ascii="Arial;sans-serif" w:hAnsi="Arial;sans-serif"/>
          <w:b w:val="false"/>
          <w:color w:val="000000"/>
          <w:sz w:val="18"/>
        </w:rPr>
        <w:t>, a Delaware corporation (the “Company”), transferable on the books of the Company in person or by duly authorized attorney upon surrender of this certificate properly endorsed.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This certificate is not valid unless countersigned by the Transfer Agent and registered by the Registrar.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506"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395"/>
        <w:gridCol w:w="395"/>
        <w:gridCol w:w="5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Authorized Signatory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Transfer Agent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4.1</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1445"/>
                <wp:effectExtent l="0" t="0" r="0" b="0"/>
                <wp:wrapNone/>
                <wp:docPr id="168" name="Frame1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6.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WILLSCOT MOBILE MINI HOLDINGS CORP.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shares represented thereby are issued and shall be held subject to all the provisions of the amended and restated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abbreviations, when used in the inscription on the face of this certificate, shall be construed as though they were written out in full according to applicable laws or regulations: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5"/>
        <w:gridCol w:w="172"/>
        <w:gridCol w:w="174"/>
        <w:gridCol w:w="109"/>
        <w:gridCol w:w="109"/>
        <w:gridCol w:w="109"/>
        <w:gridCol w:w="1358"/>
        <w:gridCol w:w="1239"/>
        <w:gridCol w:w="1242"/>
        <w:gridCol w:w="109"/>
        <w:gridCol w:w="109"/>
        <w:gridCol w:w="109"/>
        <w:gridCol w:w="409"/>
        <w:gridCol w:w="409"/>
        <w:gridCol w:w="411"/>
        <w:gridCol w:w="109"/>
        <w:gridCol w:w="109"/>
        <w:gridCol w:w="109"/>
        <w:gridCol w:w="109"/>
        <w:gridCol w:w="109"/>
        <w:gridCol w:w="109"/>
        <w:gridCol w:w="284"/>
        <w:gridCol w:w="284"/>
        <w:gridCol w:w="287"/>
        <w:gridCol w:w="463"/>
        <w:gridCol w:w="463"/>
        <w:gridCol w:w="464"/>
        <w:gridCol w:w="109"/>
        <w:gridCol w:w="109"/>
        <w:gridCol w:w="109"/>
        <w:gridCol w:w="207"/>
        <w:gridCol w:w="207"/>
        <w:gridCol w:w="302"/>
      </w:tblGrid>
      <w:tr>
        <w:trPr/>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COM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tenants in 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UNIF GIFT MIN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Custodian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(Cust)</w:t>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(Minor)</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TEN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tenants by the entireties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Under Uniform Gifts to Minors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 joint tenants with right of survivorship and not as tenants in common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TEN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Additional abbreviations may also be used though not in the above list.</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For value received,____________________ hereby sells, assigns and transfers unto ______________</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(PLEASE INSERT SOCIAL SECURITY OR OTHER IDENTIFYING NUMBER(S) OF ASSIGNEE(S))</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(PLEASE PRINT OR TYPEWRITE NAME(S) AND ADDRESS(ES), INCLUDING ZIP CODE, OF ASSIGNEE(S))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Shares of the capital stock represented by the Certificate, and hereby irrevocably constitutes and appoints</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Attorney to transfer the said stock on the books of the within named Company with full power of substitution in the premises.</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23"/>
        <w:gridCol w:w="196"/>
        <w:gridCol w:w="197"/>
        <w:gridCol w:w="109"/>
        <w:gridCol w:w="109"/>
        <w:gridCol w:w="109"/>
        <w:gridCol w:w="109"/>
        <w:gridCol w:w="109"/>
        <w:gridCol w:w="109"/>
        <w:gridCol w:w="229"/>
        <w:gridCol w:w="229"/>
        <w:gridCol w:w="231"/>
        <w:gridCol w:w="2412"/>
        <w:gridCol w:w="2412"/>
        <w:gridCol w:w="3422"/>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22"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Notice:</w:t>
            </w:r>
          </w:p>
        </w:tc>
        <w:tc>
          <w:tcPr>
            <w:tcW w:w="8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signature to this assignment must correspond with the name as written upon the face of the certificate in every particular, without alteration or enlargement or any change whatever.</w:t>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56"/>
        <w:gridCol w:w="1900"/>
        <w:gridCol w:w="1905"/>
        <w:gridCol w:w="341"/>
        <w:gridCol w:w="341"/>
        <w:gridCol w:w="341"/>
        <w:gridCol w:w="341"/>
        <w:gridCol w:w="341"/>
        <w:gridCol w:w="341"/>
        <w:gridCol w:w="341"/>
        <w:gridCol w:w="341"/>
        <w:gridCol w:w="341"/>
        <w:gridCol w:w="341"/>
        <w:gridCol w:w="341"/>
        <w:gridCol w:w="493"/>
      </w:tblGrid>
      <w:tr>
        <w:trPr/>
        <w:tc>
          <w:tcPr>
            <w:tcW w:w="2156"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5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Signature(s) Guaranteed:</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SIGNATURE(S) MUST BE GUARANTEED BY AN ELIGIBLE GUARANTOR INSTITUTION (BANKS, STOCKBROKERS,SAVINGS AND LOAN ASSOCIATIONS AND CREDIT UNIONS WITH MEMBERSHIP IN AN APPROVED SIGNATURE GUARANTEE MEDALLION PROGRAM, PURSUANT TO S.E.C. RULE 17Ad-15 (OR ANY SUCCESSOR RULE) UNDER THE SECURITIES ACT OF1933, AS AMENDED).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4.9</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31445"/>
                <wp:effectExtent l="0" t="0" r="0" b="0"/>
                <wp:wrapNone/>
                <wp:docPr id="169" name="Frame1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6.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DESCRIPTION OF COMMON STOCK AND WARRANTS REGISTERED UNDER SECTION 12 OF THE SECURITIES EXCHANGE ACT OF 1934</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 of December 31, 2023, WillScot Mobile Mini Holdings Corp., a Delaware corporation (the “Company,” “we,” “our,” “us”), had one class of securities registered under Section 12 of the Securities Exchange Act of 1934, as amended: our common stock, par value $0.0001 per share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description of our common stock summarizes material terms and provisions that apply to the securities. The summary is subject to and qualified in its entirety by reference to certain documents, including our amended and restated certificate of incorporation, as amended (“Certificate of Incorporation”), our amended and restated bylaws (“Bylaws”), and certain other documents pertaining to our capital stock specified below, which are filed as exhibits to the Annual Report on Form 10-K to which this exhibit is a part, and applicable Delaware law, including the General Corporation Law of the State of Delaware (the “DGCL”). This description includes not only our common stock, but also our authorized preferred stock, certain terms of which affect the common stock.</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Authorized Capital Stock</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Our Certificate of Incorporation authorizes the issuance of 501,000,000 shares of capital stock, consisting of: (i) 500,000,000 shares of common stock and (ii) 1,000,000 shares of preferred stock.</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Common Stock</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This section describes the general terms and provisions of our common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holders of shares of common stock possess all voting power for the election of our directors and all other matters requiring stockholder action and will at all times vote together as one class on all matters properly submitted to a vote of the stockholders of the Company. Holders of common stock are entitled to one vote per share on matters to be voted on by stockholders, provided, however that, except as otherwise required by law, holders of common stock shall not be entitled to vote on any amendment to the Certificate of Incorporation (including any preferred designation) that relates solely to the terms of one or more outstanding series of preferred stock if the holders of such affected series are entitled, either separately or together as a class with the holders of one or more other such series, to vote thereon pursuant to the Certificate of Incorporation (including any preferred designation) or pursuant to the DGCL.</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Holders of common stock will be entitled to receive dividends if and when declared by our board of directors (the “Board”) out of funds legally available therefor and shall share equally on a per share basis in such dividends and distributions. The Board may set apart out of any of the funds of the Company available for dividends a reserve or reserves for any proper purpose and may abolish any such reserve. Upon liquidation, dissolution or winding-up of our Company, the holders of the common stock will be entitled to receive an equal amount per share of all of our assets available for distribution, after the rights of the holders of any preferred stock have been satisfied. Our stockholders have no preemptive, subscription, redemption or conversion rights and there are no sinking fund or redemption provisions applicable to our common stock. Delaware law and our Bylaws permit us to issue uncertificated shares of common stock by resolution of the Board. The rights, preferences and privileges of holders of common stock are subject to the rights of the holders of any series of preferred stock that the Company may designate and issue in the future.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 of December 31, 2023, we had 189,967,135 shares of common stock issued and outstanding.</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Preferred Stock</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This section describes the general terms and provisions of our preferred stock. For more detailed information, you should refer to our Certificate of Incorporation and Bylaws, copies of which have been filed with the SEC. These documents are also incorporated by reference into the Annual Report on Form 10-K to which this exhibit is a part.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Preferred stock may be issued from time to time in one or more series. Our Board can fix the rights, preferences and privileges applicable to the shares of each series and any of its qualifications, limitations or restrictions,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Our Board is authorized,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 of December 31, 2023, we had no preferred stock outstanding.</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Our Board will fix the designations, voting powers, preferences and rights of each series, as well as the qualifications, limitations or restrictions thereof, of the preferred stock of each series that we offer under any applicable prospectus or prospectus supplements in the certificate of designation relating to that series. We will file as an exhibit to any applicable registration statement the form of any certificate of designation that describes the terms of the series of preferred stock we are offering before the issuance of that series of preferred stock. This description will include:</w: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4.9</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31445"/>
                <wp:effectExtent l="0" t="0" r="0" b="0"/>
                <wp:wrapNone/>
                <wp:docPr id="170" name="Frame1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6.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title and stated value;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number of shares we are offering;</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liquidation preference per share;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purchase price per share;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dividend rate per share, dividend period and payment dates and method of calculation for dividends;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whether dividends will be cumulative or non-cumulative and, if cumulative, the date from which dividends will accumulate;</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our right, if any, to defer payment of dividends and the maximum length of any such deferral period;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procedures for any auction and remarketing, if any;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provisions for a sinking fund, if any;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provisions for redemption or repurchase, if applicable, and any restrictions on our ability to exercise those redemption and repurchase rights;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any listing of the preferred stock on any securities exchange or market;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whether the preferred stock will be convertible into our common stock or other securities of ours, including depositary shares and warrants, and, if applicable, the conversion period, the conversion price, or how it will be calculated, and under what circumstances it may be adjusted;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whether the preferred stock will be exchangeable into debt securities, and, if applicable, the exchange period, the exchange price, or how it will be calculated, and under what circumstances it may be adjusted;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voting rights, if any, of the preferred stock;</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preemption rights, if any;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restrictions on transfer, sale or other assignment, if any;</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whether interests in the preferred stock will be represented by depositary shares;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a discussion of any material or special United States federal income tax considerations applicable to the preferred stock;</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the relative ranking and preferences of the preferred stock as to dividend rights and rights if we liquidate, dissolve or wind up our affairs;</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any limitations on issuances of any class or series of preferred stock ranking senior to or on a parity with the series of preferred stock being issued as to dividend rights and rights if we liquidate, dissolve or wind up our affairs; and</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any other specific terms, rights, preferences, privileges, qualifications or restrictions of the preferred stock.</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Dividends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We have not declared or paid any cash dividends on our common stock to date. The payment of cash dividends in the future will be dependent upon our results of operations, capital requirements and general financial condition. The payment of any cash dividends is within the discretion of our Board. In addition, our Board is not currently contemplating and does not anticipate declaring any stock dividends in the foreseeable future. Further, our ability to declare dividends is limited by restrictive covenants contained in the agreements governing the indebtedness of our subsidiaries.</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Certain Anti-Takeover Provisions of Delaware Law, Our Certificate of Incorporation and Our Bylaws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We are subject to Section 203 of the DGCL, which we refer to as “Section 203,” regulating corporate takeovers.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Section 203 prevents certain Delaware corporations, under certain circumstances, from engaging in a “business combination” with:</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a stockholder who owns fifteen percent (15%) or more of our outstanding voting stock (otherwise known as an “interested stockholder”);</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an affiliate of an interested stockholder; or</w: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4.9</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31445"/>
                <wp:effectExtent l="0" t="0" r="0" b="0"/>
                <wp:wrapNone/>
                <wp:docPr id="171" name="Frame1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6.9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an associate of an interested stockholder, for three years following the date that the stockholder became an interested stockholder.</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A “business combination” includes a merger or sale of more than ten percent (10%) of our assets. However, the above provisions of Section 203 do not apply if:</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our Board approves the transaction that made the stockholder an “interested stockholder,” prior to the date of the transaction;</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after the completion of the transaction that resulted in the stockholder becoming an interested stockholder, that stockholder owned at least eighty-five percent (85%) of our voting stock outstanding at the time the transaction commenced, other than statutorily excluded shares of common stock; or</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18"/>
        </w:rPr>
        <w:t>on or subsequent to the date of the transaction, the business combination is approved by our Board and authorized at a meeting of our stockholders, and not by written consent, by an affirmative vote of at least two-thirds of the outstanding voting stock not owned by the interested stockholder.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Our Certificate of Incorporation, our Bylaws and the DGCL contain provisions that could have the effect of rendering more difficult, delaying or preventing an acquisition deemed undesirable by our Board. These provisions could also make it difficult for stockholders to take certain actions, including electing directors who are not nominated by the members of our Board or taking other corporate actions, including effecting changes in our management. For instance, our Certificate of Incorporation provides that our Board is classified into three classes of directors. As a result, in most circumstances, a person can gain control of our Board only by successfully engaging in a proxy contest at three or more annual meetings.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 addition, our Certificate of Incorporation does not provide for cumulative voting in the election of directors. Our Board is empowered to elect a director to fill a vacancy created by the expansion of the Board or the resignation, death, or removal of a director in certain circumstances; and the advance notice provisions of our Bylaws require that stockholders must comply with certain procedures and meet strict deadlines to nominate candidates to our Board or to propose matters to be acted upon at a stockholders’ meeting.</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Our Bylaws provide that, except as otherwise required by law, special meetings of stockholders for any purpose or purposes may be called at any time only by the Board, the Chairman of the Board, or the Chief Executive Officer of the Company, to be held at such date and time as shall be designated in the notice or waiver of notice thereof. Only business within the purposes described in the Corporation’s notice of meeting may be conducted at the special meetings. The ability of the stockholders to call a special meeting is specifically denied.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Our Bylaws also provide our Board with discretion in postponing stockholder meetings, including, within certain limits, special meetings of stockholders. Additionally, our chairman or Board (acting by resolution) may adjourn a stockholder meeting at any time prior to the transaction of business at such meeting, within certain limits. Our Bylaws also include additional procedures that apply to stockholder actions by written consent.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Stockholders Rights Plan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Company does not have a stockholder rights plan currently in effect.</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Transfer Agent and Warrant Agent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transfer agent and warrant agent for our common stock and warrants is Continental Stock Transfer &amp; Trust Company.</w:t>
      </w:r>
    </w:p>
    <w:p>
      <w:pPr>
        <w:pStyle w:val="TextBody"/>
        <w:bidi w:val="0"/>
        <w:spacing w:lineRule="auto" w:line="288" w:before="0" w:after="120"/>
        <w:jc w:val="left"/>
        <w:rPr>
          <w:rFonts w:ascii="Arial;sans-serif" w:hAnsi="Arial;sans-serif"/>
          <w:b/>
          <w:color w:val="000000"/>
          <w:sz w:val="18"/>
        </w:rPr>
      </w:pPr>
      <w:r>
        <w:rPr>
          <w:rFonts w:ascii="Arial;sans-serif" w:hAnsi="Arial;sans-serif"/>
          <w:b/>
          <w:color w:val="000000"/>
          <w:sz w:val="18"/>
        </w:rPr>
        <w:t>Listing of Securities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Our common stock is listed on the Nasdaq Capital Market under the symbol “WSC.”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10.5</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31445"/>
                <wp:effectExtent l="0" t="0" r="0" b="0"/>
                <wp:wrapNone/>
                <wp:docPr id="172" name="Frame1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FORM OF PERFORMANCE-BASED RESTRICTED STOCK UNIT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This Restricted Stock Unit Agreement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and entered into as of [GRANT_DATE] (the “</w:t>
      </w:r>
      <w:r>
        <w:rPr>
          <w:rFonts w:ascii="Times New Roman;sans-serif" w:hAnsi="Times New Roman;sans-serif"/>
          <w:b/>
          <w:color w:val="000000"/>
          <w:sz w:val="24"/>
        </w:rPr>
        <w:t>Grant Date</w:t>
      </w:r>
      <w:r>
        <w:rPr>
          <w:color w:val="000000"/>
        </w:rPr>
        <w:t>”</w:t>
      </w:r>
      <w:r>
        <w:rPr>
          <w:rFonts w:ascii="Times New Roman;sans-serif" w:hAnsi="Times New Roman;sans-serif"/>
          <w:b w:val="false"/>
          <w:color w:val="000000"/>
          <w:sz w:val="24"/>
        </w:rPr>
        <w:t>) by and between WillScot Mobile Mini Holdings Corp.,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and [PARTICIPANT_NAME] (the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This Agreement is being entered into pursuant to the WillScot Mobile Mini Holdings Corp. 2020 Incentive Award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Capitalized terms used in this Agreement but not defined herein will have the meaning ascribed to them in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Restricted Stock Units</w:t>
      </w:r>
      <w:r>
        <w:rPr>
          <w:rFonts w:ascii="Times New Roman;sans-serif" w:hAnsi="Times New Roman;sans-serif"/>
          <w:b w:val="false"/>
          <w:color w:val="000000"/>
          <w:sz w:val="24"/>
        </w:rPr>
        <w:t>. Pursuant to Section 9 of the Plan, the Company hereby issues to the Participant on the Grant Date an Award consisting of a target number of [NUMBER] Restricted Stock Units (such target number of Restricted Stock Units, as may be adjusted, as described in this Agreement, the “</w:t>
      </w:r>
      <w:r>
        <w:rPr>
          <w:rFonts w:ascii="Times New Roman;sans-serif" w:hAnsi="Times New Roman;sans-serif"/>
          <w:b/>
          <w:color w:val="000000"/>
          <w:sz w:val="24"/>
        </w:rPr>
        <w:t>Restricted Stock Units</w:t>
      </w:r>
      <w:r>
        <w:rPr>
          <w:color w:val="000000"/>
        </w:rPr>
        <w:t>”</w:t>
      </w:r>
      <w:r>
        <w:rPr>
          <w:rFonts w:ascii="Times New Roman;sans-serif" w:hAnsi="Times New Roman;sans-serif"/>
          <w:b w:val="false"/>
          <w:color w:val="000000"/>
          <w:sz w:val="24"/>
        </w:rPr>
        <w:t>). The actual number of Restricted Stock Units that shall vest and become unrestricted shall be determined in accordance with Section 3 hereof. Each Restricted Stock Unit represents the right to receive one Common Share, subject to the terms and conditions set forth in this Agreement and the Plan. The Restricted Stock Units shall be credited to a separate account maintained for the Participant on the books and records of the Company (the “</w:t>
      </w:r>
      <w:r>
        <w:rPr>
          <w:rFonts w:ascii="Times New Roman;sans-serif" w:hAnsi="Times New Roman;sans-serif"/>
          <w:b/>
          <w:color w:val="000000"/>
          <w:sz w:val="24"/>
        </w:rPr>
        <w:t>Account</w:t>
      </w:r>
      <w:r>
        <w:rPr>
          <w:color w:val="000000"/>
        </w:rPr>
        <w:t>”</w:t>
      </w:r>
      <w:r>
        <w:rPr>
          <w:rFonts w:ascii="Times New Roman;sans-serif" w:hAnsi="Times New Roman;sans-serif"/>
          <w:b w:val="false"/>
          <w:color w:val="000000"/>
          <w:sz w:val="24"/>
        </w:rPr>
        <w:t>). All amounts credited to the Account shall continue for all purposes to be part of the general assets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Consideration</w:t>
      </w:r>
      <w:r>
        <w:rPr>
          <w:rFonts w:ascii="Times New Roman;sans-serif" w:hAnsi="Times New Roman;sans-serif"/>
          <w:b w:val="false"/>
          <w:color w:val="000000"/>
          <w:sz w:val="24"/>
        </w:rPr>
        <w:t>. The grant of the Restricted Stock Units is made in consideration of the services to be rendered by the Participant to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Performance-Based Vesting</w:t>
      </w:r>
      <w:r>
        <w:rPr>
          <w:rFonts w:ascii="Times New Roman;sans-serif" w:hAnsi="Times New Roman;sans-serif"/>
          <w:b w:val="false"/>
          <w:color w:val="000000"/>
          <w:sz w:val="24"/>
        </w:rPr>
        <w:t>. Except as otherwise provided herein or in the Plan, provided that the Participant remains in continuous service through the third anniversary of the Grant Date (the “</w:t>
      </w:r>
      <w:r>
        <w:rPr>
          <w:rFonts w:ascii="Times New Roman;sans-serif" w:hAnsi="Times New Roman;sans-serif"/>
          <w:b/>
          <w:color w:val="000000"/>
          <w:sz w:val="24"/>
        </w:rPr>
        <w:t>Vesting Date</w:t>
      </w:r>
      <w:r>
        <w:rPr>
          <w:color w:val="000000"/>
        </w:rPr>
        <w:t>”</w:t>
      </w:r>
      <w:r>
        <w:rPr>
          <w:rFonts w:ascii="Times New Roman;sans-serif" w:hAnsi="Times New Roman;sans-serif"/>
          <w:b w:val="false"/>
          <w:color w:val="000000"/>
          <w:sz w:val="24"/>
        </w:rPr>
        <w:t>), the Restricted Stock Units shall vest and become unrestricted based on the attainment of the performance conditions set forth in Exhibit A attached hereto. The period during which restrictions apply, the “</w:t>
      </w:r>
      <w:r>
        <w:rPr>
          <w:rFonts w:ascii="Times New Roman;sans-serif" w:hAnsi="Times New Roman;sans-serif"/>
          <w:b/>
          <w:color w:val="000000"/>
          <w:sz w:val="24"/>
        </w:rPr>
        <w:t>Restricted Period</w:t>
      </w:r>
      <w:r>
        <w:rPr>
          <w:rFonts w:ascii="Times New Roman;sans-serif" w:hAnsi="Times New Roman;sans-serif"/>
          <w:b w:val="false"/>
          <w:color w:val="000000"/>
          <w:sz w:val="24"/>
        </w:rPr>
        <w:t>.” Once vested, the Restricted Stock Units shall become “</w:t>
      </w:r>
      <w:r>
        <w:rPr>
          <w:rFonts w:ascii="Times New Roman;sans-serif" w:hAnsi="Times New Roman;sans-serif"/>
          <w:b/>
          <w:color w:val="000000"/>
          <w:sz w:val="24"/>
        </w:rPr>
        <w:t>Vested Units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Termination of Service/Employment</w:t>
      </w:r>
      <w:r>
        <w:rPr>
          <w:rFonts w:ascii="Times New Roman;sans-serif" w:hAnsi="Times New Roman;sans-serif"/>
          <w:b w:val="false"/>
          <w:color w:val="000000"/>
          <w:sz w:val="24"/>
        </w:rPr>
        <w:t>. Notwithstanding any provision of this Agreement or the Plan to the contrary, if the Participant’s employment or service terminates for any reason at any time before the Vesting Date, the Participant’s Restricted Stock Units shall be automatically forfeited upon such termination of employment or service and neither the Company nor any Affiliate shall have any further obligations to the Participant under this Agreement; provided, however, that if the Participant experiences a Qualifying Termination on or within the 12-month period following the consummation of the Change in Control, any Restricted Period in effect on the date of such Qualifying Termination shall expire as of such date and the Restricted Stock Units shall vest in accordance with the provisions of Exhibit A 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Restrictions</w:t>
      </w:r>
      <w:r>
        <w:rPr>
          <w:rFonts w:ascii="Times New Roman;sans-serif" w:hAnsi="Times New Roman;sans-serif"/>
          <w:b w:val="false"/>
          <w:color w:val="000000"/>
          <w:sz w:val="24"/>
        </w:rPr>
        <w:t>. Subject to any exceptions set forth in this Agreement or the Plan, during the Restricted Period and until such time as the Restricted Stock Units are settled, the Restricted Stock Units or the rights relating thereto may not be assigned, alienated, pledged, attached, sold or otherwise transferred or encumbered by the Participant. Any attempt to assign, alienate, pledge, attach, sell or otherwise transfer or encumber the Restricted Stock Units or the rights relating thereto shall be wholly ineffective and, if any such attempt is made, the Restricted Stock Units will be forfeited by the Participant and all of the Participant’s rights to such units shall immediately terminate without any payment or consideration by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Rights as Shareholder</w:t>
      </w:r>
      <w:r>
        <w:rPr>
          <w:rFonts w:ascii="Times New Roman;sans-serif" w:hAnsi="Times New Roman;sans-serif"/>
          <w:b w:val="false"/>
          <w:color w:val="000000"/>
          <w:sz w:val="24"/>
        </w:rPr>
        <w:t xml:space="preserve">. The Participant shall not have any rights of a shareholder with respect to the Common Shares underlying the Restricted Stock Units unless and until the Restricted Stock Units vest and are settled by the issuance of such Common Shares. Upon and following the settlement of the Restricted Stock Units, the Participant shall be the record owner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Common Shares underlying the Restricted Stock Units unless and until such shares are sold or otherwise disposed of, and as record owner shall be entitled to all rights of a shareholder of the Company (including voting rights).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Settlement of Restricted Stock Units</w:t>
      </w:r>
      <w:r>
        <w:rPr>
          <w:rFonts w:ascii="Times New Roman;sans-serif" w:hAnsi="Times New Roman;sans-serif"/>
          <w:b w:val="false"/>
          <w:color w:val="000000"/>
          <w:sz w:val="24"/>
        </w:rPr>
        <w:t>. Promptly upon the expiration of the Restricted Period, and in any event no later than March 15th of the calendar year following the calendar year in which the Restricted Period ends, the Company shall (a) issue and deliver to the Participant, or his or her beneficiary, without charge, the number of Common Shares equal to the number of Vested Units, and (b) enter the Participant’s name on the books of the Company as the shareholder of record with respect to the Common Shares delivered to the Participant; provided, however, that the Committee may, in its sole discretion elect to (i) pay cash or part cash and part Common Share in lieu of delivering only Common Shares in respect of the Restricted Stock Units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the Restricted Stock Units, less an amount equal to any required tax withholdings. Notwithstanding the foregoing, if the Participant is subject to Canadian income tax, then the Participant’s Vested Units may only be settled in Common Shares, and neither the Committee nor any other person shall have the discretion to elect to pay any portion of the Vested Units in cash.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 Rights to Continued Service/Employment</w:t>
      </w:r>
      <w:r>
        <w:rPr>
          <w:rFonts w:ascii="Times New Roman;sans-serif" w:hAnsi="Times New Roman;sans-serif"/>
          <w:b w:val="false"/>
          <w:color w:val="000000"/>
          <w:sz w:val="20"/>
        </w:rPr>
        <w:t xml:space="preserve">. </w:t>
      </w:r>
      <w:r>
        <w:rPr>
          <w:rFonts w:ascii="Times New Roman;sans-serif" w:hAnsi="Times New Roman;sans-serif"/>
          <w:b w:val="false"/>
          <w:color w:val="000000"/>
          <w:sz w:val="24"/>
        </w:rPr>
        <w:t>Neither the Plan nor this Agreement shall confer upon the Participant any right to be retained in any position, as an employee, consultant or director of the Company or any Affiliate. Further, nothing in the Plan or this Agreement shall be construed to limit the discretion of the Company or an Affiliate to terminate the Participant’s employment or service with the Company or an Affiliate at any time, with or without Cause.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In the event of any change to the outstanding Common Shares or the capital structure of the Company (including, without limitation, a Change in Control), if required, the Restricted Stock Units shall be adjusted or terminated in any manner as contemplated by Section 12 of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Beneficiary Designation</w:t>
      </w:r>
      <w:r>
        <w:rPr>
          <w:rFonts w:ascii="Times New Roman;sans-serif" w:hAnsi="Times New Roman;sans-serif"/>
          <w:b w:val="false"/>
          <w:color w:val="000000"/>
          <w:sz w:val="24"/>
        </w:rPr>
        <w:t>. The Participant may file with the Committee a written designation of one or more persons as the beneficiary(ies) who shall be entitled to his or her rights under this Agreement and the Plan, if any, in case of his or her death, in accordance with Section 16(f) of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4"/>
          <w:u w:val="single"/>
        </w:rPr>
        <w:t>Tax Liability and Withholding</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The Participant shall be required to pay to the Company, and the Company shall have the right to deduct from any compensation paid to the Participant pursuant to the Plan, the amount of any required withholding taxes in respect of the Restricted Stock Units and to take all such other action as the Committee deems necessary to satisfy all obligations for the payment of such withholding taxes in accordance with Section 16(c) of the Plan. The Committee may permit the Participant to satisfy any federal, state or local tax withholding obligation by any of the following means, or by a combination of such means of the Plan, (a) tendering a cash payment, (b) authorizing the Company to withhold Common Shares from the Common Shares otherwise issuable or deliverable to the Participant as a result of the vesting of the Restricted Stock Units (provided, however, that no Common Shares shall be withheld with a value exceeding the maximum amount of tax required to be withheld by law), or (c) delivering to the Company previously owned and unencumbered Common Shares.</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Notwithstanding any action the Company takes with respect to any or all income tax, social insurance, payroll tax, or other tax-related withholding (“</w:t>
      </w:r>
      <w:r>
        <w:rPr>
          <w:rFonts w:ascii="Times New Roman;sans-serif" w:hAnsi="Times New Roman;sans-serif"/>
          <w:b/>
          <w:color w:val="000000"/>
          <w:sz w:val="24"/>
        </w:rPr>
        <w:t>Tax-Related Items</w:t>
      </w:r>
      <w:r>
        <w:rPr>
          <w:color w:val="000000"/>
        </w:rPr>
        <w:t>”</w:t>
      </w:r>
      <w:r>
        <w:rPr>
          <w:rFonts w:ascii="Times New Roman;sans-serif" w:hAnsi="Times New Roman;sans-serif"/>
          <w:b w:val="false"/>
          <w:color w:val="000000"/>
          <w:sz w:val="24"/>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Participant’s liability for Tax-Related Items.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Compliance with Law</w:t>
      </w:r>
      <w:r>
        <w:rPr>
          <w:rFonts w:ascii="Times New Roman;sans-serif" w:hAnsi="Times New Roman;sans-serif"/>
          <w:b w:val="false"/>
          <w:color w:val="000000"/>
          <w:sz w:val="20"/>
        </w:rPr>
        <w:t xml:space="preserve">. </w:t>
      </w:r>
      <w:r>
        <w:rPr>
          <w:rFonts w:ascii="Times New Roman;sans-serif" w:hAnsi="Times New Roman;sans-serif"/>
          <w:b w:val="false"/>
          <w:color w:val="000000"/>
          <w:sz w:val="24"/>
        </w:rPr>
        <w:t>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pursuant to Restricted Stock Units unless and until any then applicable requirements of state or federal 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Notices</w:t>
      </w:r>
      <w:r>
        <w:rPr>
          <w:rFonts w:ascii="Times New Roman;sans-serif" w:hAnsi="Times New Roman;sans-serif"/>
          <w:b w:val="false"/>
          <w:color w:val="000000"/>
          <w:sz w:val="20"/>
        </w:rPr>
        <w:t xml:space="preserve">. </w:t>
      </w:r>
      <w:r>
        <w:rPr>
          <w:rFonts w:ascii="Times New Roman;sans-serif" w:hAnsi="Times New Roman;sans-serif"/>
          <w:b w:val="false"/>
          <w:color w:val="000000"/>
          <w:sz w:val="24"/>
        </w:rPr>
        <w:t>Any notice required to be delivered to the Company under this Agreement shall be in writing and addressed to the Vice President — Human Resources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will be construed and interpreted in accordance with the laws of the State of New York without regard to conflict of law principles.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Any dispute regarding the interpretation of this Agreement shall be submitted by the Participant or the Company to the Committee for review. The resolution of such dispute by the Committee shall be final and binding on the Participant and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Participant Bound by Plan</w:t>
      </w:r>
      <w:r>
        <w:rPr>
          <w:rFonts w:ascii="Times New Roman;sans-serif" w:hAnsi="Times New Roman;sans-serif"/>
          <w:b w:val="false"/>
          <w:color w:val="000000"/>
          <w:sz w:val="24"/>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Units may be transferred by will or the laws of descent or distribution.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Discretionary Nature of Plan</w:t>
      </w:r>
      <w:r>
        <w:rPr>
          <w:rFonts w:ascii="Times New Roman;sans-serif" w:hAnsi="Times New Roman;sans-serif"/>
          <w:b w:val="false"/>
          <w:color w:val="000000"/>
          <w:sz w:val="24"/>
        </w:rPr>
        <w:t xml:space="preserve">.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discretion of the Company. Any amendment, modification, or termination of the Plan shall not constitute a change or impairment of the terms and conditions of the Participant’s employment with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The Committee has the right to amend, alter, suspend, discontinue or cancel Restricted Stock Units, prospectively or retroactively; provided that no such amendment shall adversely affect the Participant’s material rights under this Agreement without the Participant’s consent.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This Agreement is intended to comply with Section 409A of the Code or an exemption thereunder and shall be construed and interpreted in a manner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No Impact on Other Benefits</w:t>
      </w:r>
      <w:r>
        <w:rPr>
          <w:rFonts w:ascii="Times New Roman;sans-serif" w:hAnsi="Times New Roman;sans-serif"/>
          <w:b w:val="false"/>
          <w:color w:val="000000"/>
          <w:sz w:val="24"/>
        </w:rPr>
        <w:t>. The value of the Participant’s Restricted Stock Units is not part of his or her normal or expected compensation for purposes of calculating any severance, retirement, welfare, insurance or similar employee benefit.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0"/>
        </w:rPr>
        <w:t xml:space="preserve">. </w:t>
      </w:r>
      <w:r>
        <w:rPr>
          <w:rFonts w:ascii="Times New Roman;sans-serif" w:hAnsi="Times New Roman;sans-serif"/>
          <w:b w:val="false"/>
          <w:color w:val="000000"/>
          <w:sz w:val="24"/>
        </w:rPr>
        <w:t>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Acceptance</w:t>
      </w:r>
      <w:r>
        <w:rPr>
          <w:rFonts w:ascii="Times New Roman;sans-serif" w:hAnsi="Times New Roman;sans-serif"/>
          <w:b w:val="false"/>
          <w:color w:val="000000"/>
          <w:sz w:val="24"/>
        </w:rPr>
        <w:t>. The Participant hereby acknowledges receipt of a copy of the Plan and this Agreement. The Participant has read and understands the terms and provisions thereof, and accepts Restricted Stock Units subject to all of the terms and conditions of the Plan and this Agreement. The Participant acknowledges that there may be adverse tax consequences upon the vesting or settlement of the Restricted Stock Units or disposition of the underlying shares and that the Participant should consult a tax advisor prior to such vesting, settlement or disposition.</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date first above written.</w:t>
      </w:r>
    </w:p>
    <w:tbl>
      <w:tblPr>
        <w:tblW w:w="5396" w:type="dxa"/>
        <w:jc w:val="left"/>
        <w:tblInd w:w="0" w:type="dxa"/>
        <w:tblLayout w:type="fixed"/>
        <w:tblCellMar>
          <w:top w:w="28" w:type="dxa"/>
          <w:left w:w="28" w:type="dxa"/>
          <w:bottom w:w="28" w:type="dxa"/>
          <w:right w:w="28" w:type="dxa"/>
        </w:tblCellMar>
      </w:tblPr>
      <w:tblGrid>
        <w:gridCol w:w="124"/>
        <w:gridCol w:w="109"/>
        <w:gridCol w:w="109"/>
        <w:gridCol w:w="1479"/>
        <w:gridCol w:w="1479"/>
        <w:gridCol w:w="2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WILLSCOT MOBILE MINI HOLDINGS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Hezron T. Lopez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Human Resources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Purpose</w:t>
      </w:r>
      <w:r>
        <w:rPr>
          <w:rFonts w:ascii="Times New Roman;sans-serif" w:hAnsi="Times New Roman;sans-serif"/>
          <w:b w:val="false"/>
          <w:color w:val="000000"/>
          <w:sz w:val="24"/>
        </w:rPr>
        <w:t>. In accordance with Section 3 of the Agreement, the number of the Restricted Stock Units that shall be become vested and unrestricted on the Vesting Date shall be based on the attainment of the Performance Goals during the Performance Period specified in this Exhibit. Any capitalized terms used herein but not defined in the Agreement or the Plan shall have the meaning ascribed to them in Section 2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0"/>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Exhibit: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color w:val="000000"/>
        </w:rPr>
        <w:t>“</w:t>
      </w:r>
      <w:r>
        <w:rPr>
          <w:rFonts w:ascii="Times New Roman;sans-serif" w:hAnsi="Times New Roman;sans-serif"/>
          <w:b/>
          <w:color w:val="000000"/>
          <w:sz w:val="24"/>
        </w:rPr>
        <w:t>Performance Goals</w:t>
      </w:r>
      <w:r>
        <w:rPr>
          <w:color w:val="000000"/>
        </w:rPr>
        <w:t xml:space="preserve">” </w:t>
      </w:r>
      <w:r>
        <w:rPr>
          <w:rFonts w:ascii="Times New Roman;sans-serif" w:hAnsi="Times New Roman;sans-serif"/>
          <w:b w:val="false"/>
          <w:color w:val="000000"/>
          <w:sz w:val="24"/>
        </w:rPr>
        <w:t>shall mean the performance-based vesting conditions applicable to the Restricted Stock Units set forth in Section 3.1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color w:val="000000"/>
        </w:rPr>
        <w:t>“</w:t>
      </w:r>
      <w:r>
        <w:rPr>
          <w:rFonts w:ascii="Times New Roman;sans-serif" w:hAnsi="Times New Roman;sans-serif"/>
          <w:b/>
          <w:color w:val="000000"/>
          <w:sz w:val="24"/>
        </w:rPr>
        <w:t>Performance Period</w:t>
      </w:r>
      <w:r>
        <w:rPr>
          <w:color w:val="000000"/>
        </w:rPr>
        <w:t xml:space="preserve">” </w:t>
      </w:r>
      <w:r>
        <w:rPr>
          <w:rFonts w:ascii="Times New Roman;sans-serif" w:hAnsi="Times New Roman;sans-serif"/>
          <w:b w:val="false"/>
          <w:color w:val="000000"/>
          <w:sz w:val="24"/>
        </w:rPr>
        <w:t>shall mean the three-year period commencing on the Grant Date and ending on the third Anniversary of the Grant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color w:val="000000"/>
        </w:rPr>
        <w:t>“</w:t>
      </w:r>
      <w:r>
        <w:rPr>
          <w:rFonts w:ascii="Times New Roman;sans-serif" w:hAnsi="Times New Roman;sans-serif"/>
          <w:b/>
          <w:color w:val="000000"/>
          <w:sz w:val="24"/>
        </w:rPr>
        <w:t>S&amp;P 400 Group</w:t>
      </w:r>
      <w:r>
        <w:rPr>
          <w:color w:val="000000"/>
        </w:rPr>
        <w:t xml:space="preserve">” </w:t>
      </w:r>
      <w:r>
        <w:rPr>
          <w:rFonts w:ascii="Times New Roman;sans-serif" w:hAnsi="Times New Roman;sans-serif"/>
          <w:b w:val="false"/>
          <w:color w:val="000000"/>
          <w:sz w:val="24"/>
        </w:rPr>
        <w:t>shall mean the companies that comprise the S&amp;P 400 Index on the Grant Date, adjusted to reflect any such companies which are removed from the S&amp;P 400 Group as of the last day of the Performance Period in accordance with this Section 2.3. Companies shall be removed from the S&amp;P 400 Group if, during the Performance Period, any such company (i) is acquired by another company (whether by a peer company or otherwise) or (ii) ceases to be listed on a national stock exchange or other applicable market system. For the avoidance of doubt, a Company shall not be removed from the S&amp;P 400 Group if, during the Performance Period, the company (x) leaves the S&amp;P 400 Index but continues to be publicly traded or (y) files for bankruptcy protection under any chapter of the U.S. Bankruptcy Code; provided, however, that in the event such a company files for bankruptcy, its rTSR (as defined below) shall be adjusted to negative one hundred percent (-100%).</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2.4</w:t>
      </w:r>
      <w:r>
        <w:rPr>
          <w:color w:val="000000"/>
        </w:rPr>
        <w:t>“</w:t>
      </w:r>
      <w:r>
        <w:rPr>
          <w:rFonts w:ascii="Times New Roman;sans-serif" w:hAnsi="Times New Roman;sans-serif"/>
          <w:b/>
          <w:color w:val="000000"/>
          <w:sz w:val="24"/>
        </w:rPr>
        <w:t>rTSR</w:t>
      </w:r>
      <w:r>
        <w:rPr>
          <w:color w:val="000000"/>
        </w:rPr>
        <w:t xml:space="preserve">” </w:t>
      </w:r>
      <w:r>
        <w:rPr>
          <w:rFonts w:ascii="Times New Roman;sans-serif" w:hAnsi="Times New Roman;sans-serif"/>
          <w:b w:val="false"/>
          <w:color w:val="000000"/>
          <w:sz w:val="24"/>
        </w:rPr>
        <w:t>shall mean total shareholder return as determined by the Committee for the Performance Period for the Company and each other company in the S&amp;P 400 Group based on the stock price appreciation from the beginning to the end of the Performance Period, plus dividends paid or declared (assuming such dividends are reinvested in the common stock of the Company or any company in the S&amp;P 400 Group). For purposes of computing the rTSR for the Company and each company in the S&amp;P 400 Group, the stock price at the beginning and the end of the Performance Period shall be based on the 90-day average closing stock price on each of the 90 consecutive trading days immediately preceding and ending on and including the first day or last day of the Performance Period, as applicable, adjusted as necessary under Section 2.3.</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2.5</w:t>
      </w:r>
      <w:r>
        <w:rPr>
          <w:color w:val="000000"/>
        </w:rPr>
        <w:t>“</w:t>
      </w:r>
      <w:r>
        <w:rPr>
          <w:rFonts w:ascii="Times New Roman;sans-serif" w:hAnsi="Times New Roman;sans-serif"/>
          <w:b/>
          <w:color w:val="000000"/>
          <w:sz w:val="24"/>
        </w:rPr>
        <w:t>rTSR Percentile Ranking</w:t>
      </w:r>
      <w:r>
        <w:rPr>
          <w:color w:val="000000"/>
        </w:rPr>
        <w:t xml:space="preserve">” </w:t>
      </w:r>
      <w:r>
        <w:rPr>
          <w:rFonts w:ascii="Times New Roman;sans-serif" w:hAnsi="Times New Roman;sans-serif"/>
          <w:b w:val="false"/>
          <w:color w:val="000000"/>
          <w:sz w:val="24"/>
        </w:rPr>
        <w:t>shall mean the percentile performance of the rTSR of the Company relative to the rTSR for the companies in the S&amp;P 400 Group determined by the Committee for the Performance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4"/>
          <w:u w:val="single"/>
        </w:rPr>
        <w:t>Performance-Based Vesting Conditions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rPr>
        <w:t>The number of the Restricted Stock Units that shall vest shall be determined based on the Company’s rTSR Percentile Ranking as compared against the rTSR for the companies comprising the S&amp;P 400 Group, measured as of the end of the Performance Period, based on following Performance Goals:</w:t>
      </w:r>
    </w:p>
    <w:p>
      <w:pPr>
        <w:pStyle w:val="TextBody"/>
        <w:bidi w:val="0"/>
        <w:spacing w:lineRule="auto" w:line="240"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Company rTSR Percentile Ranking Against S&amp;P 400 Group</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6</w:t>
                      </w:r>
                    </w:p>
                  </w:txbxContent>
                </v:textbox>
                <w10:wrap type="none"/>
              </v:rect>
            </w:pict>
          </mc:Fallback>
        </mc:AlternateContent>
      </w:r>
    </w:p>
    <w:tbl>
      <w:tblPr>
        <w:tblW w:w="9255" w:type="dxa"/>
        <w:jc w:val="left"/>
        <w:tblInd w:w="0" w:type="dxa"/>
        <w:tblLayout w:type="fixed"/>
        <w:tblCellMar>
          <w:top w:w="28" w:type="dxa"/>
          <w:left w:w="28" w:type="dxa"/>
          <w:bottom w:w="28" w:type="dxa"/>
          <w:right w:w="28" w:type="dxa"/>
        </w:tblCellMar>
      </w:tblPr>
      <w:tblGrid>
        <w:gridCol w:w="2589"/>
        <w:gridCol w:w="2277"/>
        <w:gridCol w:w="2289"/>
        <w:gridCol w:w="614"/>
        <w:gridCol w:w="614"/>
        <w:gridCol w:w="872"/>
      </w:tblGrid>
      <w:tr>
        <w:trPr/>
        <w:tc>
          <w:tcPr>
            <w:tcW w:w="2589"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24"/>
              </w:rPr>
              <w:br/>
            </w:r>
            <w:r>
              <w:rPr>
                <w:rFonts w:ascii="Times New Roman;sans-serif" w:hAnsi="Times New Roman;sans-serif"/>
                <w:b/>
                <w:color w:val="000000"/>
                <w:sz w:val="24"/>
              </w:rPr>
              <w:t>Company rTSR Percentile Ranking as Compared to S&amp;P 400 Group</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24"/>
              </w:rPr>
              <w:br/>
            </w:r>
            <w:r>
              <w:rPr>
                <w:rFonts w:ascii="Times New Roman;sans-serif" w:hAnsi="Times New Roman;sans-serif"/>
                <w:b/>
                <w:color w:val="000000"/>
                <w:sz w:val="24"/>
              </w:rPr>
              <w:t>Vesting Percentage</w:t>
            </w:r>
          </w:p>
        </w:tc>
      </w:tr>
      <w:tr>
        <w:trPr/>
        <w:tc>
          <w:tcPr>
            <w:tcW w:w="7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&gt;85th Percentile</w:t>
            </w:r>
          </w:p>
        </w:tc>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85th Percentile</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 (Maximum)</w:t>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50th Percentile</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 (Target)</w:t>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25th Percentile</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 (Threshold)</w:t>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&lt;25th Percentile</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bl>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Payout for performance between goals shall be determined based on linear interpolation. The total number of Restricted Stock Units eligible to vest, in accordance with the table above, is between 0% - 200% (the minimum number of Restricted Stock Units that may be earned is zero while the maximum number is 200% of target). No Restricted Stock Units shall be earned if the Company’s rTSR Percentile Ranking is below the 25th percentile and the maximum number of Restricted Stock Units that may be earned shall be capped at 200% of the target number even if the Company’s rTSR Percentile Ranking exceeds the 85th percentile; provided, however, that if the Company’s rTSR Percentile Ranking exceeds the 50th percentile but is negative, the maximum number of Restricted Stock Units that may be earned shall be capped at 100% of the target number.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rPr>
        <w:t>The Committee shall determine, as soon as reasonably practicable, but in any event within sixty (60) days, after the end of the Performance Period, the attainment level of the Performance Goals and the applicable number of the Restricted Stock Units that shall become Vested Units. Any Restricted Stock Units that do not become Vested Units as of the Vesting Date shall be forfeited. Any Vested Units shall be settled in accordance with Section 7 of the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Effect of a Change in Control</w:t>
      </w:r>
      <w:r>
        <w:rPr>
          <w:rFonts w:ascii="Times New Roman;sans-serif" w:hAnsi="Times New Roman;sans-serif"/>
          <w:b w:val="false"/>
          <w:color w:val="000000"/>
          <w:sz w:val="24"/>
        </w:rPr>
        <w:t>. Notwithstanding any provision of the Agreement or this Exhibit to the contrary, in the event of a Change in Control during the Performance Period the Restricted Stock Units shall be treated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rPr>
        <w:t>Change in Control during First Year of Performance Period</w:t>
      </w:r>
      <w:r>
        <w:rPr>
          <w:rFonts w:ascii="Times New Roman;sans-serif" w:hAnsi="Times New Roman;sans-serif"/>
          <w:b w:val="false"/>
          <w:color w:val="000000"/>
          <w:sz w:val="24"/>
        </w:rPr>
        <w:t>. In the event of a Change in Control (and subject to the Participant’s being in the employ of the Company, its Subsidiaries or any other affiliate as of the date of the Change in Control) during the first year of the Performance Period, the target number of the Restricted Stock Units shall automatically convert into, and represent the right to receive, an equivalent number of time-based Restricted Stock Units which will continue to vest but without regard to the achievement of any Performance Goals.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4.2</w:t>
      </w:r>
      <w:r>
        <w:rPr>
          <w:rFonts w:ascii="Times New Roman;sans-serif" w:hAnsi="Times New Roman;sans-serif"/>
          <w:b w:val="false"/>
          <w:color w:val="000000"/>
          <w:sz w:val="24"/>
          <w:u w:val="single"/>
        </w:rPr>
        <w:t>Change in Control after First Year of Performance Period</w:t>
      </w:r>
      <w:r>
        <w:rPr>
          <w:rFonts w:ascii="Times New Roman;sans-serif" w:hAnsi="Times New Roman;sans-serif"/>
          <w:b w:val="false"/>
          <w:color w:val="000000"/>
          <w:sz w:val="24"/>
        </w:rPr>
        <w:t>. In the event of a Change in Control (and subject to the Participant’s being in the employ of the Company, its Subsidiaries or any other affiliate as of the date of the Change in Control) after the first year of the Performance Period, the number of Restricted Stock Units deemed earned, based on the Company’s actual performance determined under Section 3.1 as of the Change in Control date, shall automatically convert into, and represent the right to receive, an equivalent number of time-based Restricted Stock Units which will continue to vest but without regard to the achievement of any Performance Goals.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4.3</w:t>
      </w:r>
      <w:r>
        <w:rPr>
          <w:rFonts w:ascii="Times New Roman;sans-serif" w:hAnsi="Times New Roman;sans-serif"/>
          <w:b w:val="false"/>
          <w:color w:val="000000"/>
          <w:sz w:val="24"/>
          <w:u w:val="single"/>
        </w:rPr>
        <w:t>Accelerated Vesting if Awards Not Assumed</w:t>
      </w:r>
      <w:r>
        <w:rPr>
          <w:rFonts w:ascii="Times New Roman;sans-serif" w:hAnsi="Times New Roman;sans-serif"/>
          <w:b w:val="false"/>
          <w:color w:val="000000"/>
          <w:sz w:val="24"/>
        </w:rPr>
        <w:t xml:space="preserve">. In the event of a Change in Control (and subject to the Participant’s being in the employ of the Company, its Subsidiaries or any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other affiliate as of the date of the Change in Control), if the successor company does not equitably assume, continue or substitute outstanding Awards in connection with the Change in Control, the Restricted Stock Units (for the avoidance of doubt, in the case of Restricted Stock Units based on Sections 4.1 or 4.2 above) shall become fully vested as of the date of the Change in Control and the Participant shall be eligible to receive (at the same time and in the same form) the equivalent per share consideration offered to common shareholders generally.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4.4</w:t>
      </w:r>
      <w:r>
        <w:rPr>
          <w:color w:val="000000"/>
          <w:u w:val="single"/>
        </w:rPr>
        <w:t>“</w:t>
      </w:r>
      <w:r>
        <w:rPr>
          <w:rFonts w:ascii="Times New Roman;sans-serif" w:hAnsi="Times New Roman;sans-serif"/>
          <w:b w:val="false"/>
          <w:color w:val="000000"/>
          <w:sz w:val="24"/>
          <w:u w:val="single"/>
        </w:rPr>
        <w:t>Double-Trigger” Vesting for Assumed Awards</w:t>
      </w:r>
      <w:r>
        <w:rPr>
          <w:rFonts w:ascii="Times New Roman;sans-serif" w:hAnsi="Times New Roman;sans-serif"/>
          <w:b w:val="false"/>
          <w:color w:val="000000"/>
          <w:sz w:val="24"/>
        </w:rPr>
        <w:t>. To the extent the successor company does equitably assume, continue or substitute outstanding Awards, the Restricted Stock Units (for the avoidance of doubt, in the case of Restricted Stock Units based on Sections 4.1 or 4.2 above) shall continue to vest but without regard to the achievement of any Performance Goals; provided, however, that if the Participant experiences a Qualifying Termination, such Restricted Stock Units shall become fully vested as of the date of such Qualifying Termination.</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10.18</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16"/>
                        </w:rPr>
                        <w:t>8</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FORM OF PERFORMANCE-BASED RESTRICTED STOCK UNIT AGREEMENT</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This Restricted Stock Unit Agreement (this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and entered into as of [DATE] (the “</w:t>
      </w:r>
      <w:r>
        <w:rPr>
          <w:rFonts w:ascii="Times New Roman;sans-serif" w:hAnsi="Times New Roman;sans-serif"/>
          <w:b/>
          <w:color w:val="000000"/>
          <w:sz w:val="24"/>
        </w:rPr>
        <w:t>Grant Date</w:t>
      </w:r>
      <w:r>
        <w:rPr>
          <w:color w:val="000000"/>
        </w:rPr>
        <w:t>”</w:t>
      </w:r>
      <w:r>
        <w:rPr>
          <w:rFonts w:ascii="Times New Roman;sans-serif" w:hAnsi="Times New Roman;sans-serif"/>
          <w:b w:val="false"/>
          <w:color w:val="000000"/>
          <w:sz w:val="24"/>
        </w:rPr>
        <w:t>) by and between WillScot Mobile Mini Holdings Corp., a Delaware corporation (the “</w:t>
      </w:r>
      <w:r>
        <w:rPr>
          <w:rFonts w:ascii="Times New Roman;sans-serif" w:hAnsi="Times New Roman;sans-serif"/>
          <w:b/>
          <w:color w:val="000000"/>
          <w:sz w:val="24"/>
        </w:rPr>
        <w:t>Company</w:t>
      </w:r>
      <w:r>
        <w:rPr>
          <w:color w:val="000000"/>
        </w:rPr>
        <w:t>”</w:t>
      </w:r>
      <w:r>
        <w:rPr>
          <w:rFonts w:ascii="Times New Roman;sans-serif" w:hAnsi="Times New Roman;sans-serif"/>
          <w:b w:val="false"/>
          <w:color w:val="000000"/>
          <w:sz w:val="24"/>
        </w:rPr>
        <w:t>), and [PARTICIPANT NAME] (the “</w:t>
      </w:r>
      <w:r>
        <w:rPr>
          <w:rFonts w:ascii="Times New Roman;sans-serif" w:hAnsi="Times New Roman;sans-serif"/>
          <w:b/>
          <w:color w:val="000000"/>
          <w:sz w:val="24"/>
        </w:rPr>
        <w:t>Participant</w:t>
      </w:r>
      <w:r>
        <w:rPr>
          <w:color w:val="000000"/>
        </w:rPr>
        <w:t>”</w:t>
      </w:r>
      <w:r>
        <w:rPr>
          <w:rFonts w:ascii="Times New Roman;sans-serif" w:hAnsi="Times New Roman;sans-serif"/>
          <w:b w:val="false"/>
          <w:color w:val="000000"/>
          <w:sz w:val="24"/>
        </w:rPr>
        <w:t>). This Agreement is being entered into pursuant to the WillScot Mobile Mini Holdings Corp. 2020 Incentive Award Plan (the “</w:t>
      </w:r>
      <w:r>
        <w:rPr>
          <w:rFonts w:ascii="Times New Roman;sans-serif" w:hAnsi="Times New Roman;sans-serif"/>
          <w:b/>
          <w:color w:val="000000"/>
          <w:sz w:val="24"/>
        </w:rPr>
        <w:t>Plan</w:t>
      </w:r>
      <w:r>
        <w:rPr>
          <w:color w:val="000000"/>
        </w:rPr>
        <w:t>”</w:t>
      </w:r>
      <w:r>
        <w:rPr>
          <w:rFonts w:ascii="Times New Roman;sans-serif" w:hAnsi="Times New Roman;sans-serif"/>
          <w:b w:val="false"/>
          <w:color w:val="000000"/>
          <w:sz w:val="24"/>
        </w:rPr>
        <w:t>). Capitalized terms used in this Agreement but not defined herein will have the meaning ascribed to them in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Restricted Stock Units</w:t>
      </w:r>
      <w:r>
        <w:rPr>
          <w:rFonts w:ascii="Times New Roman;sans-serif" w:hAnsi="Times New Roman;sans-serif"/>
          <w:b w:val="false"/>
          <w:color w:val="000000"/>
          <w:sz w:val="24"/>
        </w:rPr>
        <w:t>. Pursuant to Section 9 of the Plan, the Company hereby issues to the Participant on the Grant Date an Award consisting of a target number of [NUMBER] Restricted Stock Units (such target number of Restricted Stock Units, as may be adjusted, as described in this Agreement, the “</w:t>
      </w:r>
      <w:r>
        <w:rPr>
          <w:rFonts w:ascii="Times New Roman;sans-serif" w:hAnsi="Times New Roman;sans-serif"/>
          <w:b/>
          <w:color w:val="000000"/>
          <w:sz w:val="24"/>
        </w:rPr>
        <w:t>Restricted Stock Units</w:t>
      </w:r>
      <w:r>
        <w:rPr>
          <w:color w:val="000000"/>
        </w:rPr>
        <w:t>”</w:t>
      </w:r>
      <w:r>
        <w:rPr>
          <w:rFonts w:ascii="Times New Roman;sans-serif" w:hAnsi="Times New Roman;sans-serif"/>
          <w:b w:val="false"/>
          <w:color w:val="000000"/>
          <w:sz w:val="24"/>
        </w:rPr>
        <w:t>). The actual number of Restricted Stock Units that shall vest and become unrestricted shall be determined in accordance with Section 3 hereof. Each Restricted Stock Unit represents the right to receive one Common Share, subject to the terms and conditions set forth in this Agreement and the Plan. The Restricted Stock Units shall be credited to a separate account maintained for the Participant on the books and records of the Company (the “</w:t>
      </w:r>
      <w:r>
        <w:rPr>
          <w:rFonts w:ascii="Times New Roman;sans-serif" w:hAnsi="Times New Roman;sans-serif"/>
          <w:b/>
          <w:color w:val="000000"/>
          <w:sz w:val="24"/>
        </w:rPr>
        <w:t>Account</w:t>
      </w:r>
      <w:r>
        <w:rPr>
          <w:color w:val="000000"/>
        </w:rPr>
        <w:t>”</w:t>
      </w:r>
      <w:r>
        <w:rPr>
          <w:rFonts w:ascii="Times New Roman;sans-serif" w:hAnsi="Times New Roman;sans-serif"/>
          <w:b w:val="false"/>
          <w:color w:val="000000"/>
          <w:sz w:val="24"/>
        </w:rPr>
        <w:t>). All amounts credited to the Account shall continue for all purposes to be part of the general assets of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Consideration</w:t>
      </w:r>
      <w:r>
        <w:rPr>
          <w:rFonts w:ascii="Times New Roman;sans-serif" w:hAnsi="Times New Roman;sans-serif"/>
          <w:b w:val="false"/>
          <w:color w:val="000000"/>
          <w:sz w:val="24"/>
        </w:rPr>
        <w:t>. The grant of the Restricted Stock Units is made in consideration of the services to be rendered by the Participant to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Performance-Based Vesting</w:t>
      </w:r>
      <w:r>
        <w:rPr>
          <w:rFonts w:ascii="Times New Roman;sans-serif" w:hAnsi="Times New Roman;sans-serif"/>
          <w:b w:val="false"/>
          <w:color w:val="000000"/>
          <w:sz w:val="24"/>
        </w:rPr>
        <w:t>. Except as otherwise provided herein or in the Plan, provided that the Participant remains in continuous service through the third anniversary of the Grant Date (the “</w:t>
      </w:r>
      <w:r>
        <w:rPr>
          <w:rFonts w:ascii="Times New Roman;sans-serif" w:hAnsi="Times New Roman;sans-serif"/>
          <w:b/>
          <w:color w:val="000000"/>
          <w:sz w:val="24"/>
        </w:rPr>
        <w:t>Vesting Date</w:t>
      </w:r>
      <w:r>
        <w:rPr>
          <w:color w:val="000000"/>
        </w:rPr>
        <w:t>”</w:t>
      </w:r>
      <w:r>
        <w:rPr>
          <w:rFonts w:ascii="Times New Roman;sans-serif" w:hAnsi="Times New Roman;sans-serif"/>
          <w:b w:val="false"/>
          <w:color w:val="000000"/>
          <w:sz w:val="24"/>
        </w:rPr>
        <w:t xml:space="preserve">), the Restricted Stock Units shall vest and become unrestricted based on the attainment of the performance conditions set forth in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hereto. The period during which restrictions apply, the “</w:t>
      </w:r>
      <w:r>
        <w:rPr>
          <w:rFonts w:ascii="Times New Roman;sans-serif" w:hAnsi="Times New Roman;sans-serif"/>
          <w:b/>
          <w:color w:val="000000"/>
          <w:sz w:val="24"/>
        </w:rPr>
        <w:t>Restricted Period</w:t>
      </w:r>
      <w:r>
        <w:rPr>
          <w:rFonts w:ascii="Times New Roman;sans-serif" w:hAnsi="Times New Roman;sans-serif"/>
          <w:b w:val="false"/>
          <w:color w:val="000000"/>
          <w:sz w:val="24"/>
        </w:rPr>
        <w:t>.” Once vested, the Restricted Stock Units shall become “</w:t>
      </w:r>
      <w:r>
        <w:rPr>
          <w:rFonts w:ascii="Times New Roman;sans-serif" w:hAnsi="Times New Roman;sans-serif"/>
          <w:b/>
          <w:color w:val="000000"/>
          <w:sz w:val="24"/>
        </w:rPr>
        <w:t>Vested Units</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Termination of Service/Employment</w:t>
      </w:r>
      <w:r>
        <w:rPr>
          <w:rFonts w:ascii="Times New Roman;sans-serif" w:hAnsi="Times New Roman;sans-serif"/>
          <w:b w:val="false"/>
          <w:color w:val="000000"/>
          <w:sz w:val="24"/>
        </w:rPr>
        <w:t xml:space="preserve">. Notwithstanding any provision of this Agreement or the Plan to the contrary, if the Participant’s employment or service terminates for any reason at any time before the Vesting Date, the Participant’s Restricted Stock Units shall be automatically forfeited upon such termination of employment or service and neither the Company nor any Affiliate shall have any further obligations to the Participant under this Agreement; provided, however, that if the Participant experiences a Qualifying Termination on or within the 12-month period following the consummation of the Change in Control, any Restricted Period in effect on the date of such Qualifying Termination shall expire as of such date and the Restricted Stock Units shall vest in accordance with the provisions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hereto.</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Restrictions</w:t>
      </w:r>
      <w:r>
        <w:rPr>
          <w:rFonts w:ascii="Times New Roman;sans-serif" w:hAnsi="Times New Roman;sans-serif"/>
          <w:b w:val="false"/>
          <w:color w:val="000000"/>
          <w:sz w:val="24"/>
        </w:rPr>
        <w:t>. Subject to any exceptions set forth in this Agreement or the Plan, during the Restricted Period and until such time as the Restricted Stock Units are settled, the Restricted Stock Units or the rights relating thereto may not be assigned, alienated, pledged, attached, sold or otherwise transferred or encumbered by the Participant. Any attempt to assign, alienate, pledge, attach, sell or otherwise transfer or encumber the Restricted Stock Units or the rights relating thereto shall be wholly ineffective and, if any such attempt is made, the Restricted Stock Units will be forfeited by the Participant and all of the Participant’s rights to such units shall immediately terminate without any payment or consideration by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Rights as Shareholder</w:t>
      </w:r>
      <w:r>
        <w:rPr>
          <w:rFonts w:ascii="Times New Roman;sans-serif" w:hAnsi="Times New Roman;sans-serif"/>
          <w:b w:val="false"/>
          <w:color w:val="000000"/>
          <w:sz w:val="24"/>
        </w:rPr>
        <w:t xml:space="preserve">. The Participant shall not have any rights of a shareholder with respect to the Common Shares underlying the Restricted Stock Units unless and until the Restricted Stock Units vest and are settled by the issuance of such Common Shares. Upon and following the settlement of the Restricted Stock Units, the Participant shall be the record owner </w:t>
      </w:r>
    </w:p>
    <w:p>
      <w:pPr>
        <w:pStyle w:val="TextBody"/>
        <w:bidi w:val="0"/>
        <w:spacing w:before="0" w:after="0"/>
        <w:jc w:val="righ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16840"/>
                <wp:effectExtent l="0" t="0" r="0" b="0"/>
                <wp:wrapNone/>
                <wp:docPr id="181" name="Frame1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Common Shares underlying the Restricted Stock Units unless and until such shares are sold or otherwise disposed of, and as record owner shall be entitled to all rights of a shareholder of the Company (including voting rights).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Settlement of Restricted Stock Units</w:t>
      </w:r>
      <w:r>
        <w:rPr>
          <w:rFonts w:ascii="Times New Roman;sans-serif" w:hAnsi="Times New Roman;sans-serif"/>
          <w:b w:val="false"/>
          <w:color w:val="000000"/>
          <w:sz w:val="24"/>
        </w:rPr>
        <w:t>. Promptly upon the expiration of the Restricted Period, and in any event no later than ten (10) calendar days after the Committee certifies whether the performance conditions, the Company shall (a) issue and deliver to the Participant, or his or her beneficiary, without charge, the number of Common Shares equal to the number of Vested Units, and (b) enter the Participant’s name on the books of the Company as the shareholder of record with respect to the Common Shares delivered to the Participant; provided, however, that the Committee may, in its sole discretion elect to (i) pay cash or part cash and part Common Share in lieu of delivering only Common Shares in respect of the Restricted Stock Units or (ii) defer the delivery of Common Shares (or cash or part Common Shares and part cash, as the case may be) beyond the expiration of the Restricted Period if such delivery would result in a violation of applicable law until such time as is no longer the case. If a cash payment is made in lieu of delivering Common Shares, the amount of such payment shall be equal to the Fair Market Value of the Common Shares as of the date on which the Restricted Period lapsed with respect to the Restricted Stock Units, less an amount equal to any required tax withholdings. Notwithstanding the foregoing, if the Participant is subject to Canadian income tax, then the Participant’s Vested Units may only be settled in Common Shares, and neither the Committee nor any other person shall have the discretion to elect to pay any portion of the Vested Units in cash.</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No Rights to Continued Service/Employment</w:t>
      </w:r>
      <w:r>
        <w:rPr>
          <w:rFonts w:ascii="Times New Roman;sans-serif" w:hAnsi="Times New Roman;sans-serif"/>
          <w:b w:val="false"/>
          <w:color w:val="000000"/>
          <w:sz w:val="20"/>
        </w:rPr>
        <w:t xml:space="preserve">. </w:t>
      </w:r>
      <w:r>
        <w:rPr>
          <w:rFonts w:ascii="Times New Roman;sans-serif" w:hAnsi="Times New Roman;sans-serif"/>
          <w:b w:val="false"/>
          <w:color w:val="000000"/>
          <w:sz w:val="24"/>
        </w:rPr>
        <w:t>Neither the Plan nor this Agreement shall confer upon the Participant any right to be retained in any position, as an employee, consultant or director of the Company or any Affiliate. Further, nothing in the Plan or this Agreement shall be construed to limit the discretion of the Company or an Affiliate to terminate the Participant’s employment or service with the Company or an Affiliate at any time, with or without Cause.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Adjustments</w:t>
      </w:r>
      <w:r>
        <w:rPr>
          <w:rFonts w:ascii="Times New Roman;sans-serif" w:hAnsi="Times New Roman;sans-serif"/>
          <w:b w:val="false"/>
          <w:color w:val="000000"/>
          <w:sz w:val="24"/>
        </w:rPr>
        <w:t>. In the event of any change to the outstanding Common Shares or the capital structure of the Company (including, without limitation, a Change in Control), if required, the Restricted Stock Units shall be adjusted or terminated in any manner as contemplated by Section 12 of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Beneficiary Designation</w:t>
      </w:r>
      <w:r>
        <w:rPr>
          <w:rFonts w:ascii="Times New Roman;sans-serif" w:hAnsi="Times New Roman;sans-serif"/>
          <w:b w:val="false"/>
          <w:color w:val="000000"/>
          <w:sz w:val="24"/>
        </w:rPr>
        <w:t>. The Participant may file with the Committee a written designation of one or more persons as the beneficiary(ies) who shall be entitled to his or her rights under this Agreement and the Plan, if any, in case of his or her death, in accordance with Section 16(f) of the Plan.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Tax Liability and Withholding</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rPr>
        <w:t>The Participant shall be required to pay to the Company, and the Company shall have the right to deduct from any compensation paid to the Participant pursuant to the Plan, the amount of any required withholding taxes in respect of the Restricted Stock Units and to take all such other action as the Committee deems necessary to satisfy all obligations for the payment of such withholding taxes in accordance with Section 16(c) of the Plan. The Committee may permit the Participant to satisfy any federal, state or local tax withholding obligation by any of the following means, or by a combination of such means of the Plan, (a) tendering a cash payment, (b) authorizing the Company to withhold Common Shares from the Common Shares otherwise issuable or deliverable to the Participant as a result of the vesting of the Restricted Stock Units (provided, however, that no Common Shares shall be withheld with a value exceeding the maximum amount of tax required to be withheld by law), or (c) delivering to the Company previously owned and unencumbered Common Shares.</w:t>
      </w:r>
    </w:p>
    <w:p>
      <w:pPr>
        <w:pStyle w:val="TextBody"/>
        <w:bidi w:val="0"/>
        <w:spacing w:before="0" w:after="0"/>
        <w:jc w:val="righ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16840"/>
                <wp:effectExtent l="0" t="0" r="0" b="0"/>
                <wp:wrapNone/>
                <wp:docPr id="182" name="Frame1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rPr>
        <w:t>Notwithstanding any action the Company takes with respect to any or all income tax, social insurance, payroll tax, or other tax-related withholding (“</w:t>
      </w:r>
      <w:r>
        <w:rPr>
          <w:rFonts w:ascii="Times New Roman;sans-serif" w:hAnsi="Times New Roman;sans-serif"/>
          <w:b/>
          <w:color w:val="000000"/>
          <w:sz w:val="24"/>
        </w:rPr>
        <w:t>Tax-Related Items</w:t>
      </w:r>
      <w:r>
        <w:rPr>
          <w:color w:val="000000"/>
        </w:rPr>
        <w:t>”</w:t>
      </w:r>
      <w:r>
        <w:rPr>
          <w:rFonts w:ascii="Times New Roman;sans-serif" w:hAnsi="Times New Roman;sans-serif"/>
          <w:b w:val="false"/>
          <w:color w:val="000000"/>
          <w:sz w:val="24"/>
        </w:rPr>
        <w:t>),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or the subsequent sale of any shares; and (b) does not commit to structure the Restricted Stock Units to reduce or eliminate the Participant’s liability for Tax-Related Items.</w:t>
      </w:r>
    </w:p>
    <w:p>
      <w:pPr>
        <w:pStyle w:val="TextBody"/>
        <w:bidi w:val="0"/>
        <w:spacing w:lineRule="auto" w:line="240" w:before="0" w:after="240"/>
        <w:ind w:left="0" w:right="0" w:firstLine="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Non-Competition</w:t>
      </w:r>
      <w:r>
        <w:rPr>
          <w:rFonts w:ascii="Times New Roman;sans-serif" w:hAnsi="Times New Roman;sans-serif"/>
          <w:b w:val="false"/>
          <w:color w:val="000000"/>
          <w:sz w:val="24"/>
        </w:rPr>
        <w:t xml:space="preserve">. Participant agrees that during the period twenty four (24) months after the Last Day and within the Restricted Geographic Area, Participant will not, directly or Indirectly, perform the same or similar responsibilities Participant performed for the Company in connection with a Competitive Product or Service. Notwithstanding the foregoing, Participant may accept employment with a Competitor whose business is diversified, provided that: (a) Participant will not be engaged in working on or providing Competitive Products or Services or otherwise use or disclose Confidential Information; and (b) the Company receives written assurances from the Competitor and Participant that are satisfactory to the Company that Participant will not work on or provide Competitive Products or Services, or otherwise use or disclose Confidential Information. In addition, nothing in this Agreement is intended to prevent Participant from investing Participant’s funds in securities of a person engaged in a business that is directly competitive with the Company if the securities of such a person are listed for trading on a registered securities exchange or actively traded in an over-the-counter market and Participant’s holdings represent less than one percent (1%) of the total number of outstanding shares or principal amount of the securities of such a person. The non-compete covenant set forth in this paragraph 12 shall not apply to Participant if Participant is or was a resident of the State of California during the period of time this Agreement is in effect.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12.1</w:t>
      </w:r>
      <w:r>
        <w:rPr>
          <w:color w:val="000000"/>
        </w:rPr>
        <w:t>“</w:t>
      </w:r>
      <w:r>
        <w:rPr>
          <w:rFonts w:ascii="Times New Roman;sans-serif" w:hAnsi="Times New Roman;sans-serif"/>
          <w:b/>
          <w:color w:val="000000"/>
          <w:sz w:val="24"/>
        </w:rPr>
        <w:t>Last Day</w:t>
      </w:r>
      <w:r>
        <w:rPr>
          <w:color w:val="000000"/>
        </w:rPr>
        <w:t xml:space="preserve">” </w:t>
      </w:r>
      <w:r>
        <w:rPr>
          <w:rFonts w:ascii="Times New Roman;sans-serif" w:hAnsi="Times New Roman;sans-serif"/>
          <w:b w:val="false"/>
          <w:color w:val="000000"/>
          <w:sz w:val="24"/>
        </w:rPr>
        <w:t>means Participant’s last day of employment with the Company regardless of the reason for Participant’s separation, including voluntary or involuntary.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12.2</w:t>
      </w:r>
      <w:r>
        <w:rPr>
          <w:color w:val="000000"/>
        </w:rPr>
        <w:t>“</w:t>
      </w:r>
      <w:r>
        <w:rPr>
          <w:rFonts w:ascii="Times New Roman;sans-serif" w:hAnsi="Times New Roman;sans-serif"/>
          <w:b/>
          <w:color w:val="000000"/>
          <w:sz w:val="24"/>
        </w:rPr>
        <w:t>Restricted Geographic Area</w:t>
      </w:r>
      <w:r>
        <w:rPr>
          <w:color w:val="000000"/>
        </w:rPr>
        <w:t xml:space="preserve">” </w:t>
      </w:r>
      <w:r>
        <w:rPr>
          <w:rFonts w:ascii="Times New Roman;sans-serif" w:hAnsi="Times New Roman;sans-serif"/>
          <w:b w:val="false"/>
          <w:color w:val="000000"/>
          <w:sz w:val="24"/>
        </w:rPr>
        <w:t>means (a) within fifty (50) miles (or if a court of competent jurisdiction determines that fifty (50) miles is too far, then twenty-five (25) miles) of any Company branch where Participant worked during the twenty-four (24) months prior to the Last Day and any (b) territory (i.e.: (x) state(s), (y) county(ies), or (z) city(ies)) in which, during the twenty-four (24) months prior to the Last Day, Participant: (i) provided material services on behalf of the Company (or in which Participant supervised directly or Indirectly, in whole or in part, the servicing activities) in connection with the Company Business, and/or (ii) solicited Customers or otherwise sold services on behalf of the Company (or in which Participant supervised directly or Indirectly, in whole or in part, the solicitation or servicing activities related to such Customers) in connection with the Company Business. “Material” means the Participant’s primary job duties in connection with the Company Business.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12.3</w:t>
      </w:r>
      <w:r>
        <w:rPr>
          <w:color w:val="000000"/>
        </w:rPr>
        <w:t>“</w:t>
      </w:r>
      <w:r>
        <w:rPr>
          <w:rFonts w:ascii="Times New Roman;sans-serif" w:hAnsi="Times New Roman;sans-serif"/>
          <w:b/>
          <w:color w:val="000000"/>
          <w:sz w:val="24"/>
        </w:rPr>
        <w:t>Indirectly</w:t>
      </w:r>
      <w:r>
        <w:rPr>
          <w:color w:val="000000"/>
        </w:rPr>
        <w:t xml:space="preserve">” </w:t>
      </w:r>
      <w:r>
        <w:rPr>
          <w:rFonts w:ascii="Times New Roman;sans-serif" w:hAnsi="Times New Roman;sans-serif"/>
          <w:b w:val="false"/>
          <w:color w:val="000000"/>
          <w:sz w:val="24"/>
        </w:rPr>
        <w:t>means that Participant will not assist others in performing activities in which Participant is directly prohibited from engaging under this Agreement, including through employees whom Participant supervised.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12.4</w:t>
      </w:r>
      <w:r>
        <w:rPr>
          <w:color w:val="000000"/>
        </w:rPr>
        <w:t>“</w:t>
      </w:r>
      <w:r>
        <w:rPr>
          <w:rFonts w:ascii="Times New Roman;sans-serif" w:hAnsi="Times New Roman;sans-serif"/>
          <w:b/>
          <w:color w:val="000000"/>
          <w:sz w:val="24"/>
        </w:rPr>
        <w:t>Competitive Product or Service</w:t>
      </w:r>
      <w:r>
        <w:rPr>
          <w:color w:val="000000"/>
        </w:rPr>
        <w:t xml:space="preserve">” </w:t>
      </w:r>
      <w:r>
        <w:rPr>
          <w:rFonts w:ascii="Times New Roman;sans-serif" w:hAnsi="Times New Roman;sans-serif"/>
          <w:b w:val="false"/>
          <w:color w:val="000000"/>
          <w:sz w:val="24"/>
        </w:rPr>
        <w:t>means any product, process, system or service (in existence or under development) of any person or organization other than the Company that is the same as or similar to the Company Business (in existence or under development) and upon which Participant worked or had responsibilities at the Company during the twenty-four (24) months prior to the Last Day.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12.5</w:t>
      </w:r>
      <w:r>
        <w:rPr>
          <w:color w:val="000000"/>
        </w:rPr>
        <w:t>“</w:t>
      </w:r>
      <w:r>
        <w:rPr>
          <w:rFonts w:ascii="Times New Roman;sans-serif" w:hAnsi="Times New Roman;sans-serif"/>
          <w:b/>
          <w:color w:val="000000"/>
          <w:sz w:val="24"/>
        </w:rPr>
        <w:t>Confidential Information</w:t>
      </w:r>
      <w:r>
        <w:rPr>
          <w:color w:val="000000"/>
        </w:rPr>
        <w:t xml:space="preserve">” </w:t>
      </w:r>
      <w:r>
        <w:rPr>
          <w:rFonts w:ascii="Times New Roman;sans-serif" w:hAnsi="Times New Roman;sans-serif"/>
          <w:b w:val="false"/>
          <w:color w:val="000000"/>
          <w:sz w:val="24"/>
        </w:rPr>
        <w:t xml:space="preserve">means information that is created and used in the Company Business and which is not generally known by the public, including but not limited to: proprietary or customized software and database (including the Company’s customer database); </w:t>
      </w:r>
    </w:p>
    <w:p>
      <w:pPr>
        <w:pStyle w:val="TextBody"/>
        <w:bidi w:val="0"/>
        <w:spacing w:before="0" w:after="0"/>
        <w:jc w:val="righ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16840"/>
                <wp:effectExtent l="0" t="0" r="0" b="0"/>
                <wp:wrapNone/>
                <wp:docPr id="183" name="Frame1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research and development; the Company’s confidential records pertaining to its Customers, including key Customer contact information; contract terms and related information; confidential business opportunities; strategies for advertising and marketing; confidential business processes and strategies, including training, policies and procedures; product documents and forms; personnel composition (wages, specialization, etc.); financial data and reports, including pricing, quoting and billing methods; and any other business information that the Company maintains as confidential or that gives the Company an advantage or opportunity to gain an advantage over its competitors in the Company Business. Participant specifically understands and agrees that the term Confidential Information also includes all confidential information of a third party that may be communicated to, acquired by, learned of, or developed by Participant in the course of or as a result of Participant’s employment with the Company. Confidential Information does not include information that is or may become known to Participant or to the public from sources outside the Company and through means other than a breach of this Agreement or disclosed by Participant after written approval from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Non-Solicitation and Non-Inducement of Customers</w:t>
      </w:r>
      <w:r>
        <w:rPr>
          <w:rFonts w:ascii="Times New Roman;sans-serif" w:hAnsi="Times New Roman;sans-serif"/>
          <w:b w:val="false"/>
          <w:color w:val="000000"/>
          <w:sz w:val="24"/>
        </w:rPr>
        <w:t>. During the period twenty-four (24) months after the Participant’s Last Day and in connection with a Competitive Product or Service, Participant shall not directly or Indirectly: (a) solicit or attempt to solicit any Customer; or (b) induce or encourage any Customer to terminate a relationship with the Company or otherwise to cease accepting services or products from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Non-Solicitation and Non-Inducement of Employees</w:t>
      </w:r>
      <w:r>
        <w:rPr>
          <w:rFonts w:ascii="Times New Roman;sans-serif" w:hAnsi="Times New Roman;sans-serif"/>
          <w:b w:val="false"/>
          <w:color w:val="000000"/>
          <w:sz w:val="24"/>
        </w:rPr>
        <w:t>. During the period twenty-four (24) months after the Participant’s Last Day, Participant shall not directly or Indirectly: (a) solicit, recruit, encourage (or attempt to solicit, recruit or encourage), or by assisting others in soliciting, recruiting or encouraging, any Company employees; (b) contact or communicate with employees for the purpose of inducing, assisting, encouraging and/or facilitating them to terminate their employment with the Company; and/or (c) offer employment or work to any employees.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Compliance with Law</w:t>
      </w:r>
      <w:r>
        <w:rPr>
          <w:rFonts w:ascii="Times New Roman;sans-serif" w:hAnsi="Times New Roman;sans-serif"/>
          <w:b w:val="false"/>
          <w:color w:val="000000"/>
          <w:sz w:val="20"/>
        </w:rPr>
        <w:t xml:space="preserve">. </w:t>
      </w:r>
      <w:r>
        <w:rPr>
          <w:rFonts w:ascii="Times New Roman;sans-serif" w:hAnsi="Times New Roman;sans-serif"/>
          <w:b w:val="false"/>
          <w:color w:val="000000"/>
          <w:sz w:val="24"/>
        </w:rPr>
        <w:t>The issuance and transfer of Common Shares shall be subject to compliance by the Company and the Participant with all applicable requirements of federal and state securities laws and with all applicable requirements of any stock exchange on which the Common Shares may be listed. No Common Shares shall be issued pursuant to Restricted Stock Units unless and until any then applicable requirements of state or federal laws and regulatory agencies have been fully complied with to the satisfaction of the Company and its counsel. The Participant understands that the Company is under no obligation to register the Common Shares with the Securities and Exchange Commission, any state securities commission or any stock exchange to effect such compliance.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Notices</w:t>
      </w:r>
      <w:r>
        <w:rPr>
          <w:rFonts w:ascii="Times New Roman;sans-serif" w:hAnsi="Times New Roman;sans-serif"/>
          <w:b w:val="false"/>
          <w:color w:val="000000"/>
          <w:sz w:val="20"/>
        </w:rPr>
        <w:t xml:space="preserve">. </w:t>
      </w:r>
      <w:r>
        <w:rPr>
          <w:rFonts w:ascii="Times New Roman;sans-serif" w:hAnsi="Times New Roman;sans-serif"/>
          <w:b w:val="false"/>
          <w:color w:val="000000"/>
          <w:sz w:val="24"/>
        </w:rPr>
        <w:t>Any notice required to be delivered to the Company under this Agreement shall be in writing and addressed to the Chief Human Resources Officer of the Company at its principal corporate offices. Any notice required to be delivered to the Participant under this Agreement shall be in writing and addressed to the Participant at the Participant’s address as shown in the records of the Company. Either party may designate another address in writing (or by such other method approved by the Company) from time to time.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will be construed and interpreted in accordance with the laws of the State of Delaware without regard to conflict of law principles.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Any dispute regarding the interpretation of this Agreement shall be submitted by the Participant or the Company to the Committee for review. The resolution of such dispute by the Committee shall be final and binding on the Participant and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16840"/>
                <wp:effectExtent l="0" t="0" r="0" b="0"/>
                <wp:wrapNone/>
                <wp:docPr id="184" name="Frame1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Participant Bound by Plan</w:t>
      </w:r>
      <w:r>
        <w:rPr>
          <w:rFonts w:ascii="Times New Roman;sans-serif" w:hAnsi="Times New Roman;sans-serif"/>
          <w:b w:val="false"/>
          <w:color w:val="000000"/>
          <w:sz w:val="24"/>
        </w:rPr>
        <w:t>. This Agreement is subject to all terms and conditions of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Units may be transferred by will or the laws of descent or distribution.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Discretionary Nature of Plan</w:t>
      </w:r>
      <w:r>
        <w:rPr>
          <w:rFonts w:ascii="Times New Roman;sans-serif" w:hAnsi="Times New Roman;sans-serif"/>
          <w:b w:val="false"/>
          <w:color w:val="000000"/>
          <w:sz w:val="24"/>
        </w:rPr>
        <w:t>.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Amendment</w:t>
      </w:r>
      <w:r>
        <w:rPr>
          <w:rFonts w:ascii="Times New Roman;sans-serif" w:hAnsi="Times New Roman;sans-serif"/>
          <w:b w:val="false"/>
          <w:color w:val="000000"/>
          <w:sz w:val="24"/>
        </w:rPr>
        <w:t>. The Committee has the right to amend, alter, suspend, discontinue or cancel Restricted Stock Units, prospectively or retroactively; provided that no such amendment shall adversely affect the Participant’s material rights under this Agreement without the Participant’s consent.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This Agreement is intended to comply with Section 409A of the Code or an exemption thereunder and shall be construed and interpreted in a manner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No Impact on Other Benefits</w:t>
      </w:r>
      <w:r>
        <w:rPr>
          <w:rFonts w:ascii="Times New Roman;sans-serif" w:hAnsi="Times New Roman;sans-serif"/>
          <w:b w:val="false"/>
          <w:color w:val="000000"/>
          <w:sz w:val="24"/>
        </w:rPr>
        <w:t>. The value of the Participant’s Restricted Stock Units is not part of his or her normal or expected compensation for purposes of calculating any severance, retirement, welfare, insurance or similar employee benefit.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0"/>
        </w:rPr>
        <w:t xml:space="preserve">. </w:t>
      </w:r>
      <w:r>
        <w:rPr>
          <w:rFonts w:ascii="Times New Roman;sans-serif" w:hAnsi="Times New Roman;sans-serif"/>
          <w:b w:val="false"/>
          <w:color w:val="000000"/>
          <w:sz w:val="24"/>
        </w:rPr>
        <w:t>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Acceptance</w:t>
      </w:r>
      <w:r>
        <w:rPr>
          <w:rFonts w:ascii="Times New Roman;sans-serif" w:hAnsi="Times New Roman;sans-serif"/>
          <w:b w:val="false"/>
          <w:color w:val="000000"/>
          <w:sz w:val="24"/>
        </w:rPr>
        <w:t xml:space="preserve">. The Participant hereby acknowledges receipt of a copy of the Plan and this Agreement. The Participant has read and understands the terms and provisions thereof, and accepts Restricted Stock Units subject to all of the terms and conditions of the Plan and this </w:t>
      </w:r>
    </w:p>
    <w:p>
      <w:pPr>
        <w:pStyle w:val="TextBody"/>
        <w:bidi w:val="0"/>
        <w:spacing w:before="0" w:after="0"/>
        <w:jc w:val="righ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16840"/>
                <wp:effectExtent l="0" t="0" r="0" b="0"/>
                <wp:wrapNone/>
                <wp:docPr id="185" name="Frame1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The Participant acknowledges that there may be adverse tax consequences upon the vesting or settlement of the Restricted Stock Units or disposition of the underlying shares and that the Participant should consult a tax advisor prior to such vesting, settlement or disposition.</w:t>
      </w:r>
    </w:p>
    <w:p>
      <w:pPr>
        <w:pStyle w:val="TextBody"/>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16840"/>
                <wp:effectExtent l="0" t="0" r="0" b="0"/>
                <wp:wrapNone/>
                <wp:docPr id="186" name="Frame1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date first above written.</w:t>
      </w:r>
    </w:p>
    <w:tbl>
      <w:tblPr>
        <w:tblW w:w="5396" w:type="dxa"/>
        <w:jc w:val="left"/>
        <w:tblInd w:w="0" w:type="dxa"/>
        <w:tblLayout w:type="fixed"/>
        <w:tblCellMar>
          <w:top w:w="28" w:type="dxa"/>
          <w:left w:w="28" w:type="dxa"/>
          <w:bottom w:w="28" w:type="dxa"/>
          <w:right w:w="28" w:type="dxa"/>
        </w:tblCellMar>
      </w:tblPr>
      <w:tblGrid>
        <w:gridCol w:w="124"/>
        <w:gridCol w:w="109"/>
        <w:gridCol w:w="109"/>
        <w:gridCol w:w="1479"/>
        <w:gridCol w:w="1479"/>
        <w:gridCol w:w="20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WILLSCOT MOBILE MINI HOLDINGS CORP.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Felicia Gorcyca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Human Resources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16840"/>
                <wp:effectExtent l="0" t="0" r="0" b="0"/>
                <wp:wrapNone/>
                <wp:docPr id="187" name="Frame1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Purpose</w:t>
      </w:r>
      <w:r>
        <w:rPr>
          <w:rFonts w:ascii="Times New Roman;sans-serif" w:hAnsi="Times New Roman;sans-serif"/>
          <w:b w:val="false"/>
          <w:color w:val="000000"/>
          <w:sz w:val="24"/>
        </w:rPr>
        <w:t>. In accordance with Section 3 of the Agreement, the number of the Restricted Stock Units that shall be become vested and unrestricted on the Vesting Date shall be based on the attainment of the Performance Goals during the Performance Period specified in this Exhibit. Any capitalized terms used herein but not defined in the Agreement or the Plan shall have the meaning ascribed to them in Section 2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0"/>
        </w:rPr>
        <w: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Exhibit: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2.1</w:t>
      </w:r>
      <w:r>
        <w:rPr>
          <w:color w:val="000000"/>
        </w:rPr>
        <w:t>“</w:t>
      </w:r>
      <w:r>
        <w:rPr>
          <w:rFonts w:ascii="Times New Roman;sans-serif" w:hAnsi="Times New Roman;sans-serif"/>
          <w:b/>
          <w:color w:val="000000"/>
          <w:sz w:val="24"/>
        </w:rPr>
        <w:t>Performance Goals</w:t>
      </w:r>
      <w:r>
        <w:rPr>
          <w:color w:val="000000"/>
        </w:rPr>
        <w:t xml:space="preserve">” </w:t>
      </w:r>
      <w:r>
        <w:rPr>
          <w:rFonts w:ascii="Times New Roman;sans-serif" w:hAnsi="Times New Roman;sans-serif"/>
          <w:b w:val="false"/>
          <w:color w:val="000000"/>
          <w:sz w:val="24"/>
        </w:rPr>
        <w:t>shall mean the performance-based vesting conditions applicable to the Restricted Stock Units set forth in Section 3.1 below.</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2.2</w:t>
      </w:r>
      <w:r>
        <w:rPr>
          <w:color w:val="000000"/>
        </w:rPr>
        <w:t>“</w:t>
      </w:r>
      <w:r>
        <w:rPr>
          <w:rFonts w:ascii="Times New Roman;sans-serif" w:hAnsi="Times New Roman;sans-serif"/>
          <w:b/>
          <w:color w:val="000000"/>
          <w:sz w:val="24"/>
        </w:rPr>
        <w:t>Performance Period</w:t>
      </w:r>
      <w:r>
        <w:rPr>
          <w:color w:val="000000"/>
        </w:rPr>
        <w:t xml:space="preserve">” </w:t>
      </w:r>
      <w:r>
        <w:rPr>
          <w:rFonts w:ascii="Times New Roman;sans-serif" w:hAnsi="Times New Roman;sans-serif"/>
          <w:b w:val="false"/>
          <w:color w:val="000000"/>
          <w:sz w:val="24"/>
        </w:rPr>
        <w:t>shall mean the three-year period commencing on the Grant Date and ending on the third Anniversary of the Grant Date.</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2.3</w:t>
      </w:r>
      <w:r>
        <w:rPr>
          <w:color w:val="000000"/>
        </w:rPr>
        <w:t>“</w:t>
      </w:r>
      <w:r>
        <w:rPr>
          <w:rFonts w:ascii="Times New Roman;sans-serif" w:hAnsi="Times New Roman;sans-serif"/>
          <w:b/>
          <w:color w:val="000000"/>
          <w:sz w:val="24"/>
        </w:rPr>
        <w:t>S&amp;P 400</w:t>
      </w:r>
      <w:r>
        <w:rPr>
          <w:color w:val="000000"/>
        </w:rPr>
        <w:t xml:space="preserve"> </w:t>
      </w:r>
      <w:r>
        <w:rPr>
          <w:rFonts w:ascii="Times New Roman;sans-serif" w:hAnsi="Times New Roman;sans-serif"/>
          <w:b/>
          <w:color w:val="000000"/>
          <w:sz w:val="24"/>
        </w:rPr>
        <w:t>Group</w:t>
      </w:r>
      <w:r>
        <w:rPr>
          <w:color w:val="000000"/>
        </w:rPr>
        <w:t xml:space="preserve">” </w:t>
      </w:r>
      <w:r>
        <w:rPr>
          <w:rFonts w:ascii="Times New Roman;sans-serif" w:hAnsi="Times New Roman;sans-serif"/>
          <w:b w:val="false"/>
          <w:color w:val="000000"/>
          <w:sz w:val="24"/>
        </w:rPr>
        <w:t>shall mean the companies that comprise the S&amp;P 400 Index on the Grant Date, adjusted to reflect any such companies which are removed from the S&amp;P 400 Group as of the last day of the Performance Period in accordance with this Section 2.3. Companies shall be removed from the S&amp;P 400 Group if, during the Performance Period, any such company (i) is acquired by another company (whether by a peer company or otherwise) or (ii) ceases to be listed on a national stock exchange or other applicable market system. For the avoidance of doubt, a Company shall not be removed from the S&amp;P 400 Group if, during the Performance Period, the company (x) leaves the S&amp;P 400 Index but continues to be publicly traded or (y) files for bankruptcy protection under any chapter of the U.S. Bankruptcy Code; provided, however, that in the event such a company files for bankruptcy, its TSR (as defined below) shall be adjusted to negative one hundred percent (-100%).</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2.4</w:t>
      </w:r>
      <w:r>
        <w:rPr>
          <w:color w:val="000000"/>
        </w:rPr>
        <w:t>“</w:t>
      </w:r>
      <w:r>
        <w:rPr>
          <w:rFonts w:ascii="Times New Roman;sans-serif" w:hAnsi="Times New Roman;sans-serif"/>
          <w:b/>
          <w:color w:val="000000"/>
          <w:sz w:val="24"/>
        </w:rPr>
        <w:t>rTSR</w:t>
      </w:r>
      <w:r>
        <w:rPr>
          <w:color w:val="000000"/>
        </w:rPr>
        <w:t xml:space="preserve">” </w:t>
      </w:r>
      <w:r>
        <w:rPr>
          <w:rFonts w:ascii="Times New Roman;sans-serif" w:hAnsi="Times New Roman;sans-serif"/>
          <w:b w:val="false"/>
          <w:color w:val="000000"/>
          <w:sz w:val="24"/>
        </w:rPr>
        <w:t>shall mean total shareholder return as determined by the Committee for the Performance Period for the Company and each other company in the S&amp;P 400 Group based on the stock price appreciation from the beginning to the end of the Performance Period, plus dividends paid or declared (assuming such dividends are reinvested in the common stock of the Company or any company in the S&amp;P 400 Group as of the ex-dividend date). For purposes of computing the rTSR for the Company and each company in the S&amp;P 400 Group, the stock price at the beginning and the end of the Performance Period shall be based on the 60-day average closing stock price on each of the 60 consecutive trading days immediately preceding and ending on and including the first day or last day of the Performance Period, as applicable, adjusted as necessary under Section 2.3.</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2.5</w:t>
      </w:r>
      <w:r>
        <w:rPr>
          <w:color w:val="000000"/>
        </w:rPr>
        <w:t>“</w:t>
      </w:r>
      <w:r>
        <w:rPr>
          <w:rFonts w:ascii="Times New Roman;sans-serif" w:hAnsi="Times New Roman;sans-serif"/>
          <w:b/>
          <w:color w:val="000000"/>
          <w:sz w:val="24"/>
        </w:rPr>
        <w:t>rTSR Percentile Ranking</w:t>
      </w:r>
      <w:r>
        <w:rPr>
          <w:color w:val="000000"/>
        </w:rPr>
        <w:t xml:space="preserve">” </w:t>
      </w:r>
      <w:r>
        <w:rPr>
          <w:rFonts w:ascii="Times New Roman;sans-serif" w:hAnsi="Times New Roman;sans-serif"/>
          <w:b w:val="false"/>
          <w:color w:val="000000"/>
          <w:sz w:val="24"/>
        </w:rPr>
        <w:t>shall mean the percentile performance of the rTSR of the Company relative to the rTSR for the companies in the S&amp;P 400 Group determined by the Committee for the Performance Period.</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Performance-Based Vesting Conditions</w:t>
      </w:r>
      <w:r>
        <w:rPr>
          <w:rFonts w:ascii="Times New Roman;sans-serif" w:hAnsi="Times New Roman;sans-serif"/>
          <w:b w:val="false"/>
          <w:color w:val="000000"/>
          <w:sz w:val="20"/>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rPr>
        <w:t>The number of the Restricted Stock Units that shall vest shall be determined based on the Company’s rTSR Percentile Ranking as compared against the rTSR for the companies comprising the S&amp;P 400 Group, measured as of the end of the Performance Period, based on following Performance Goals:</w:t>
      </w:r>
    </w:p>
    <w:p>
      <w:pPr>
        <w:pStyle w:val="TextBody"/>
        <w:bidi w:val="0"/>
        <w:spacing w:lineRule="auto" w:line="240" w:before="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Company rTSR Percentile Ranking Against S&amp;P 400 Group</w:t>
      </w:r>
    </w:p>
    <w:p>
      <w:pPr>
        <w:pStyle w:val="TextBody"/>
        <w:bidi w:val="0"/>
        <w:spacing w:before="0" w:after="0"/>
        <w:jc w:val="righ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16840"/>
                <wp:effectExtent l="0" t="0" r="0" b="0"/>
                <wp:wrapNone/>
                <wp:docPr id="188" name="Frame1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tbl>
      <w:tblPr>
        <w:tblW w:w="9255" w:type="dxa"/>
        <w:jc w:val="left"/>
        <w:tblInd w:w="0" w:type="dxa"/>
        <w:tblLayout w:type="fixed"/>
        <w:tblCellMar>
          <w:top w:w="28" w:type="dxa"/>
          <w:left w:w="28" w:type="dxa"/>
          <w:bottom w:w="28" w:type="dxa"/>
          <w:right w:w="28" w:type="dxa"/>
        </w:tblCellMar>
      </w:tblPr>
      <w:tblGrid>
        <w:gridCol w:w="2589"/>
        <w:gridCol w:w="2277"/>
        <w:gridCol w:w="2289"/>
        <w:gridCol w:w="614"/>
        <w:gridCol w:w="614"/>
        <w:gridCol w:w="872"/>
      </w:tblGrid>
      <w:tr>
        <w:trPr/>
        <w:tc>
          <w:tcPr>
            <w:tcW w:w="2589"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24"/>
              </w:rPr>
              <w:br/>
            </w:r>
            <w:r>
              <w:rPr>
                <w:rFonts w:ascii="Times New Roman;sans-serif" w:hAnsi="Times New Roman;sans-serif"/>
                <w:b/>
                <w:color w:val="000000"/>
                <w:sz w:val="24"/>
              </w:rPr>
              <w:t>Company rTSR Percentile Ranking as Compared to S&amp;P 400 Group</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sz w:val="24"/>
              </w:rPr>
              <w:br/>
            </w:r>
            <w:r>
              <w:rPr>
                <w:rFonts w:ascii="Times New Roman;sans-serif" w:hAnsi="Times New Roman;sans-serif"/>
                <w:b/>
                <w:color w:val="000000"/>
                <w:sz w:val="24"/>
              </w:rPr>
              <w:t>Vesting Percentage</w:t>
            </w:r>
          </w:p>
        </w:tc>
      </w:tr>
      <w:tr>
        <w:trPr/>
        <w:tc>
          <w:tcPr>
            <w:tcW w:w="71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&gt;85th Percentile</w:t>
            </w:r>
          </w:p>
        </w:tc>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85th Percentile</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 (Maximum)</w:t>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50th Percentile</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 (Target)</w:t>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25th Percentile</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 (Threshold)</w:t>
            </w:r>
          </w:p>
        </w:tc>
      </w:tr>
      <w:tr>
        <w:trPr/>
        <w:tc>
          <w:tcPr>
            <w:tcW w:w="7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&lt;25th Percentile</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0%</w:t>
            </w:r>
          </w:p>
        </w:tc>
      </w:tr>
    </w:tbl>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Payout for performance between goals shall be determined based on linear interpolation. The total number of Restricted Stock Units eligible to vest, in accordance with the table above, is between 0% - 200% (the minimum number of Restricted Stock Units that may be earned is zero while the maximum number is 200% of target). No Restricted Stock Units shall be earned if the Company’s rTSR Percentile Ranking is below the 25th percentile and the maximum number of Restricted Stock Units that may be earned shall be capped at 200% of the target number even if the Company’s rTSR Percentile Ranking exceeds the 85th percentile; provided, however, that if the Company’s rTSR Percentile Ranking exceeds the 50th percentile but is negative, the maximum number of Restricted Stock Units that may be earned shall be capped at 100% of the target number.</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rPr>
        <w:t>The Committee shall determine, as soon as reasonably practicable, but in any event within sixty (60) calendar days after the end of the Performance Period, the attainment level of the Performance Goals and the applicable number of the Restricted Stock Units that shall become Vested Units. Any Restricted Stock Units that do not meet the vesting conditions shall be forfeited. Any Vested Units shall be settled in accordance with Section 7 of the Agreement.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Effect of a Change in Control</w:t>
      </w:r>
      <w:r>
        <w:rPr>
          <w:rFonts w:ascii="Times New Roman;sans-serif" w:hAnsi="Times New Roman;sans-serif"/>
          <w:b w:val="false"/>
          <w:color w:val="000000"/>
          <w:sz w:val="24"/>
        </w:rPr>
        <w:t>. Notwithstanding any provision of the Agreement or this Exhibit to the contrary, in the event of a Change in Control during the Performance Period the Restricted Stock Units shall be treated as follows: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4.1</w:t>
      </w:r>
      <w:r>
        <w:rPr>
          <w:rFonts w:ascii="Times New Roman;sans-serif" w:hAnsi="Times New Roman;sans-serif"/>
          <w:b w:val="false"/>
          <w:color w:val="000000"/>
          <w:sz w:val="24"/>
          <w:u w:val="single"/>
        </w:rPr>
        <w:t>Change in Control during First Year of Performance Period</w:t>
      </w:r>
      <w:r>
        <w:rPr>
          <w:rFonts w:ascii="Times New Roman;sans-serif" w:hAnsi="Times New Roman;sans-serif"/>
          <w:b w:val="false"/>
          <w:color w:val="000000"/>
          <w:sz w:val="24"/>
        </w:rPr>
        <w:t>. In the event of a Change in Control (and subject to the Participant’s being in the employ of the Company, its Subsidiaries or any other affiliate as of the date of the Change in Control) during the first year of the Performance Period, the target number of the Restricted Stock Units shall automatically convert into, and represent the right to receive, an equivalent number of time-based Restricted Stock Units which will continue to vest but without regard to the achievement of any Performance Goals.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4.2</w:t>
      </w:r>
      <w:r>
        <w:rPr>
          <w:rFonts w:ascii="Times New Roman;sans-serif" w:hAnsi="Times New Roman;sans-serif"/>
          <w:b w:val="false"/>
          <w:color w:val="000000"/>
          <w:sz w:val="24"/>
          <w:u w:val="single"/>
        </w:rPr>
        <w:t>Change in Control after First Year of Performance Period</w:t>
      </w:r>
      <w:r>
        <w:rPr>
          <w:rFonts w:ascii="Times New Roman;sans-serif" w:hAnsi="Times New Roman;sans-serif"/>
          <w:b w:val="false"/>
          <w:color w:val="000000"/>
          <w:sz w:val="24"/>
        </w:rPr>
        <w:t>. In the event of a Change in Control (and subject to the Participant’s being in the employ of the Company, its Subsidiaries or any other affiliate as of the date of the Change in Control) after the first year of the Performance Period, the number of Restricted Stock Units deemed earned, based on the Company’s actual performance determined under Section 3.1 as of the Change in Control date, shall automatically convert into, and represent the right to receive, an equivalent number of time-based Restricted Stock Units which will continue to vest but without regard to the achievement of any Performance Goals.</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4.3</w:t>
      </w:r>
      <w:r>
        <w:rPr>
          <w:rFonts w:ascii="Times New Roman;sans-serif" w:hAnsi="Times New Roman;sans-serif"/>
          <w:b w:val="false"/>
          <w:color w:val="000000"/>
          <w:sz w:val="24"/>
          <w:u w:val="single"/>
        </w:rPr>
        <w:t>Accelerated Vesting if Awards Not Assumed</w:t>
      </w:r>
      <w:r>
        <w:rPr>
          <w:rFonts w:ascii="Times New Roman;sans-serif" w:hAnsi="Times New Roman;sans-serif"/>
          <w:b w:val="false"/>
          <w:color w:val="000000"/>
          <w:sz w:val="24"/>
        </w:rPr>
        <w:t xml:space="preserve">. In the event of a Change in Control (and subject to the Participant’s being in the employ of the Company, its Subsidiaries or any other affiliate as of the date of the Change in Control), if the successor company does not </w:t>
      </w:r>
    </w:p>
    <w:p>
      <w:pPr>
        <w:pStyle w:val="TextBody"/>
        <w:bidi w:val="0"/>
        <w:spacing w:before="0" w:after="0"/>
        <w:jc w:val="righ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16840"/>
                <wp:effectExtent l="0" t="0" r="0" b="0"/>
                <wp:wrapNone/>
                <wp:docPr id="189" name="Frame1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equitably assume, continue or substitute outstanding Awards in connection with the Change in Control, the Restricted Stock Units (for the avoidance of doubt, in the case of Restricted Stock Units based on Sections 4.1 or 4.2 above) shall become fully vested as of the date of the Change in Control and the Participant shall be eligible to receive (at the same time and in the same form) the equivalent per share consideration offered to common shareholders generally.</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4.4</w:t>
      </w:r>
      <w:r>
        <w:rPr>
          <w:color w:val="000000"/>
          <w:u w:val="single"/>
        </w:rPr>
        <w:t>“</w:t>
      </w:r>
      <w:r>
        <w:rPr>
          <w:rFonts w:ascii="Times New Roman;sans-serif" w:hAnsi="Times New Roman;sans-serif"/>
          <w:b w:val="false"/>
          <w:color w:val="000000"/>
          <w:sz w:val="24"/>
          <w:u w:val="single"/>
        </w:rPr>
        <w:t>Double-Trigger” Vesting for Assumed Awards</w:t>
      </w:r>
      <w:r>
        <w:rPr>
          <w:rFonts w:ascii="Times New Roman;sans-serif" w:hAnsi="Times New Roman;sans-serif"/>
          <w:b w:val="false"/>
          <w:color w:val="000000"/>
          <w:sz w:val="24"/>
        </w:rPr>
        <w:t>. To the extent the successor company does equitably assume, continue or substitute outstanding Awards, the Restricted Stock Units (for the avoidance of doubt, in the case of Restricted Stock Units based on Sections 4.1 or 4.2 above) shall continue to vest but without regard to the achievement of any Performance Goals; provided, however, that if the Participant experiences a Qualifying Termination, such Restricted Stock Units shall become fully vested as of the date of such Qualifying Termination.</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21.1</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16840"/>
                <wp:effectExtent l="0" t="0" r="0" b="0"/>
                <wp:wrapNone/>
                <wp:docPr id="190" name="Frame1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18"/>
        </w:rPr>
        <w:t xml:space="preserve">Subsidiaries of </w:t>
      </w:r>
      <w:r>
        <w:rPr>
          <w:rFonts w:ascii="Arial;sans-serif" w:hAnsi="Arial;sans-serif"/>
          <w:b/>
          <w:color w:val="333333"/>
          <w:sz w:val="18"/>
        </w:rPr>
        <w:t>WillScot Mobile Mini Holdings Corp.</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The following is a listing of Subsidiaries of </w:t>
      </w:r>
      <w:r>
        <w:rPr>
          <w:rFonts w:ascii="Arial;sans-serif" w:hAnsi="Arial;sans-serif"/>
          <w:b w:val="false"/>
          <w:color w:val="333333"/>
          <w:sz w:val="18"/>
        </w:rPr>
        <w:t>WillScot Mobile Mini Holdings Corp.</w:t>
      </w:r>
      <w:r>
        <w:rPr>
          <w:rFonts w:ascii="Arial;sans-serif" w:hAnsi="Arial;sans-serif"/>
          <w:b w:val="false"/>
          <w:color w:val="000000"/>
          <w:sz w:val="18"/>
        </w:rPr>
        <w:t>, including the name under which they do business and their jurisdictions of incorporation, as of December 31, 2023.</w:t>
      </w:r>
    </w:p>
    <w:p>
      <w:pPr>
        <w:pStyle w:val="TextBody"/>
        <w:bidi w:val="0"/>
        <w:spacing w:before="0" w:after="0"/>
        <w:jc w:val="left"/>
        <w:rPr/>
      </w:pPr>
      <w:r>
        <w:rPr/>
      </w:r>
    </w:p>
    <w:tbl>
      <w:tblPr>
        <w:tblW w:w="6674" w:type="dxa"/>
        <w:jc w:val="left"/>
        <w:tblInd w:w="0" w:type="dxa"/>
        <w:tblLayout w:type="fixed"/>
        <w:tblCellMar>
          <w:top w:w="28" w:type="dxa"/>
          <w:left w:w="28" w:type="dxa"/>
          <w:bottom w:w="28" w:type="dxa"/>
          <w:right w:w="28" w:type="dxa"/>
        </w:tblCellMar>
      </w:tblPr>
      <w:tblGrid>
        <w:gridCol w:w="1383"/>
        <w:gridCol w:w="1217"/>
        <w:gridCol w:w="1224"/>
        <w:gridCol w:w="834"/>
        <w:gridCol w:w="834"/>
        <w:gridCol w:w="1182"/>
      </w:tblGrid>
      <w:tr>
        <w:trPr/>
        <w:tc>
          <w:tcPr>
            <w:tcW w:w="138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Company Name</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Jurisdiction of Incorporation</w:t>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Williams Scotsman Holdings Corp.</w:t>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WillScot Equipment II, LLC </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Williams Scotsman, Inc. </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Maryland</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Williams Scotsman Mexico S. de R. L. de C.V.</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Federal District (Mexico City)</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Williams Scotsman of Canada, Inc.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Ontario, Canada</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Williams Scotsman Metis Services, Inc.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British Columbia, Canada</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Enterprise Risk Solutions, Inc.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Arizona</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Elite Modular Leasing &amp; Sales, Inc.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California</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BRT Structures Ltd.</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Alberta, Canada</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Hallwood Modular Buildings, LLC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Louisiana</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Ares Doors &amp; Safety, LLC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616 GC LLC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Arizona</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Modern Building Systems, LLC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Mescher Holding Co, LLC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Ohio</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A&amp;M Cold Storage, LLC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Georgia</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AMC Container Leasing, LLC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Ohio</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AMC Trailer Leasing, LLC</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Georgia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23.1</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Consent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consent to the incorporation by reference in the following Registration Statements: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(1)Registration Statement (Form S-8 No. 333-222870) of WillScot Mobile Mini Holdings Corp.,</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(2)Registration Statement (Form S-3 No. 333-227480) of WillScot Mobile Mini Holdings Corp., and</w:t>
      </w:r>
    </w:p>
    <w:p>
      <w:pPr>
        <w:pStyle w:val="TextBody"/>
        <w:bidi w:val="0"/>
        <w:spacing w:before="0" w:after="0"/>
        <w:ind w:left="0" w:right="0" w:firstLine="36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(3)Registration Statement (Form S-8 No. 333-239626) pertaining to the Employees' Savings Plan of WillScot Mobile Mini Holdings Corp.;</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8"/>
        </w:rPr>
        <w:t>of our reports dated</w:t>
      </w:r>
      <w:r>
        <w:rPr>
          <w:color w:val="333333"/>
        </w:rPr>
        <w:t xml:space="preserve"> </w:t>
      </w:r>
      <w:r>
        <w:rPr>
          <w:rFonts w:ascii="Arial;sans-serif" w:hAnsi="Arial;sans-serif"/>
          <w:b w:val="false"/>
          <w:color w:val="000000"/>
          <w:sz w:val="18"/>
        </w:rPr>
        <w:t>February 20, 2024</w:t>
      </w:r>
      <w:r>
        <w:rPr>
          <w:rFonts w:ascii="Arial;sans-serif" w:hAnsi="Arial;sans-serif"/>
          <w:b w:val="false"/>
          <w:color w:val="333333"/>
          <w:sz w:val="18"/>
        </w:rPr>
        <w:t xml:space="preserve">, </w:t>
      </w:r>
      <w:r>
        <w:rPr>
          <w:rFonts w:ascii="Arial;sans-serif" w:hAnsi="Arial;sans-serif"/>
          <w:b w:val="false"/>
          <w:color w:val="000000"/>
          <w:sz w:val="18"/>
        </w:rPr>
        <w:t>with respect to the consolidated financial statements of WillScot Mobile Mini Holdings Corp. and the effectiveness of internal control over financial reporting of WillScot Mobile Mini Holdings Corp. included in this Annual Report (Form 10-K) of WillScot Mobile Mini Holdings Corp. for the year ended December 31, 2023.</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 Ernst &amp; Young LLP</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Baltimore, Maryland</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February 20, 2024</w:t>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31.1</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Executive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Bradley L. Soultz, certify that: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1. I have reviewed this annual report on Form 10-K of WillScot Mobile Mini Corp.;</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February 20, 2024 </w:t>
      </w:r>
    </w:p>
    <w:tbl>
      <w:tblPr>
        <w:tblW w:w="375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02"/>
        <w:gridCol w:w="902"/>
        <w:gridCol w:w="12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Chief Executive Officer and Director </w:t>
              <w:br/>
              <w:t>(Principal Executive Officer)</w:t>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31.2</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Certification of Chief Financial Officer</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Pursuant to Section 302 of the Sarbanes-Oxley Act of 2002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Timothy D. Boswell, certify that:</w:t>
      </w:r>
    </w:p>
    <w:p>
      <w:pPr>
        <w:pStyle w:val="TextBody"/>
        <w:bidi w:val="0"/>
        <w:spacing w:before="0" w:after="0"/>
        <w:jc w:val="both"/>
        <w:rPr/>
      </w:pPr>
      <w:r>
        <w:rPr/>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1. I have reviewed this annual report on Form 10-K of WillScot Mobile Mini Corp.;</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February 20, 2024 </w:t>
      </w:r>
    </w:p>
    <w:tbl>
      <w:tblPr>
        <w:tblW w:w="3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1"/>
        <w:gridCol w:w="931"/>
        <w:gridCol w:w="13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xml:space="preserve">President and Chief Financial Officer </w:t>
              <w:br/>
              <w:t>(Principal Financial Officer)</w:t>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32.1</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449" w:type="dxa"/>
        <w:jc w:val="center"/>
        <w:tblInd w:w="0" w:type="dxa"/>
        <w:tblLayout w:type="fixed"/>
        <w:tblCellMar>
          <w:top w:w="28" w:type="dxa"/>
          <w:left w:w="28" w:type="dxa"/>
          <w:bottom w:w="28" w:type="dxa"/>
          <w:right w:w="28" w:type="dxa"/>
        </w:tblCellMar>
      </w:tblPr>
      <w:tblGrid>
        <w:gridCol w:w="1103"/>
        <w:gridCol w:w="970"/>
        <w:gridCol w:w="1376"/>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Certification of Chief Executive Officer</w:t>
            </w:r>
          </w:p>
        </w:tc>
      </w:tr>
    </w:tbl>
    <w:p>
      <w:pPr>
        <w:pStyle w:val="TextBody"/>
        <w:bidi w:val="0"/>
        <w:spacing w:before="0" w:after="0"/>
        <w:jc w:val="both"/>
        <w:rPr/>
      </w:pPr>
      <w:r>
        <w:rPr/>
      </w:r>
    </w:p>
    <w:p>
      <w:pPr>
        <w:pStyle w:val="TextBody"/>
        <w:bidi w:val="0"/>
        <w:spacing w:lineRule="auto" w:line="417" w:before="0" w:after="0"/>
        <w:ind w:left="0" w:right="0" w:firstLine="360"/>
        <w:jc w:val="both"/>
        <w:rPr>
          <w:rFonts w:ascii="Arial;sans-serif" w:hAnsi="Arial;sans-serif"/>
          <w:b w:val="false"/>
          <w:color w:val="000000"/>
          <w:sz w:val="18"/>
        </w:rPr>
      </w:pPr>
      <w:r>
        <w:rPr>
          <w:rFonts w:ascii="Arial;sans-serif" w:hAnsi="Arial;sans-serif"/>
          <w:b w:val="false"/>
          <w:color w:val="000000"/>
          <w:sz w:val="18"/>
        </w:rPr>
        <w:t>Pursuant to 18 U.S.C. Section 1350, as created by Section 906 of the Sarbanes-Oxley Act of 2002, the undersigned officer of WillScot Mobile Mini Corp. (the “Company”) hereby certifies, to such officer's knowledge, that: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 the annual report on Form 10-K of the Company for the period ended December 31, 2023 (the “Report”) fully complies with the requirements of Section 13(a) or Section 15(d), as applicable, of the Securities Exchange Act of 1934, as amended;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(ii)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Date: February 20, 2024 </w:t>
      </w:r>
    </w:p>
    <w:tbl>
      <w:tblPr>
        <w:tblW w:w="60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60"/>
        <w:gridCol w:w="1560"/>
        <w:gridCol w:w="22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Bradley L. Soultz</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Chief Executive Officer and Director (Principal Executive Officer)</w:t>
            </w:r>
          </w:p>
        </w:tc>
      </w:tr>
    </w:tbl>
    <w:p>
      <w:pPr>
        <w:pStyle w:val="TextBody"/>
        <w:bidi w:val="0"/>
        <w:spacing w:before="120" w:after="283"/>
        <w:ind w:left="0" w:right="0" w:firstLine="36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32.2</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360" w:type="dxa"/>
        <w:jc w:val="center"/>
        <w:tblInd w:w="0" w:type="dxa"/>
        <w:tblLayout w:type="fixed"/>
        <w:tblCellMar>
          <w:top w:w="28" w:type="dxa"/>
          <w:left w:w="28" w:type="dxa"/>
          <w:bottom w:w="28" w:type="dxa"/>
          <w:right w:w="28" w:type="dxa"/>
        </w:tblCellMar>
      </w:tblPr>
      <w:tblGrid>
        <w:gridCol w:w="1075"/>
        <w:gridCol w:w="945"/>
        <w:gridCol w:w="1340"/>
      </w:tblGrid>
      <w:tr>
        <w:trPr/>
        <w:tc>
          <w:tcPr>
            <w:tcW w:w="10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Certification of Chief Financial Officer</w:t>
            </w:r>
          </w:p>
        </w:tc>
      </w:tr>
    </w:tbl>
    <w:p>
      <w:pPr>
        <w:pStyle w:val="TextBody"/>
        <w:bidi w:val="0"/>
        <w:spacing w:lineRule="auto" w:line="417" w:before="0" w:after="0"/>
        <w:ind w:left="0" w:right="0" w:firstLine="360"/>
        <w:jc w:val="both"/>
        <w:rPr>
          <w:rFonts w:ascii="Arial;sans-serif" w:hAnsi="Arial;sans-serif"/>
          <w:b w:val="false"/>
          <w:color w:val="000000"/>
          <w:sz w:val="18"/>
        </w:rPr>
      </w:pPr>
      <w:r>
        <w:rPr>
          <w:rFonts w:ascii="Arial;sans-serif" w:hAnsi="Arial;sans-serif"/>
          <w:b w:val="false"/>
          <w:color w:val="000000"/>
          <w:sz w:val="18"/>
        </w:rPr>
        <w:t>Pursuant to 18 U.S.C. Section 1350, as created by Section 906 of the Sarbanes-Oxley Act of 2002, the undersigned officer of WillScot Mobile Mini Corp. (the “Company”) hereby certifies, to such officer's knowledge, that:</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 the annual report on Form 10-K of the Company for the period ended December 31, 2023 (the “Report”) fully complies with the requirements of Section 13(a) or Section 15(d), as applicable, of the Securities Exchange Act of 1934, as amended; and</w:t>
      </w:r>
    </w:p>
    <w:p>
      <w:pPr>
        <w:pStyle w:val="TextBody"/>
        <w:bidi w:val="0"/>
        <w:spacing w:lineRule="auto" w:line="417" w:before="0" w:after="0"/>
        <w:jc w:val="both"/>
        <w:rPr>
          <w:rFonts w:ascii="Arial;sans-serif" w:hAnsi="Arial;sans-serif"/>
          <w:b w:val="false"/>
          <w:color w:val="000000"/>
          <w:sz w:val="18"/>
        </w:rPr>
      </w:pPr>
      <w:r>
        <w:rPr>
          <w:rFonts w:ascii="Arial;sans-serif" w:hAnsi="Arial;sans-serif"/>
          <w:b w:val="false"/>
          <w:color w:val="000000"/>
          <w:sz w:val="18"/>
        </w:rPr>
        <w:t>(ii) the information contained in the Report fairly presents, in all material respects, the financial condition and results of operations of the Company. </w:t>
      </w:r>
    </w:p>
    <w:p>
      <w:pPr>
        <w:pStyle w:val="TextBody"/>
        <w:bidi w:val="0"/>
        <w:spacing w:before="0" w:after="0"/>
        <w:jc w:val="both"/>
        <w:rPr/>
      </w:pPr>
      <w:r>
        <w:rPr/>
      </w:r>
    </w:p>
    <w:p>
      <w:pPr>
        <w:pStyle w:val="TextBody"/>
        <w:bidi w:val="0"/>
        <w:spacing w:lineRule="auto" w:line="417" w:before="0" w:after="0"/>
        <w:jc w:val="left"/>
        <w:rPr>
          <w:rFonts w:ascii="Arial;sans-serif" w:hAnsi="Arial;sans-serif"/>
          <w:b w:val="false"/>
          <w:color w:val="000000"/>
          <w:sz w:val="18"/>
        </w:rPr>
      </w:pPr>
      <w:r>
        <w:rPr>
          <w:rFonts w:ascii="Arial;sans-serif" w:hAnsi="Arial;sans-serif"/>
          <w:b w:val="false"/>
          <w:color w:val="000000"/>
          <w:sz w:val="18"/>
        </w:rPr>
        <w:t xml:space="preserve">Date: February 20, 2024 </w:t>
      </w:r>
    </w:p>
    <w:tbl>
      <w:tblPr>
        <w:tblW w:w="60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76"/>
        <w:gridCol w:w="1576"/>
        <w:gridCol w:w="2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Timothy D. Boswell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President and Chief Financial Officer (Principal Financial Officer)</w:t>
            </w:r>
          </w:p>
        </w:tc>
      </w:tr>
    </w:tbl>
    <w:p>
      <w:pPr>
        <w:pStyle w:val="TextBody"/>
        <w:bidi w:val="0"/>
        <w:spacing w:before="120" w:after="283"/>
        <w:ind w:left="0" w:right="0" w:firstLine="36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Arial;sans-serif" w:hAnsi="Arial;sans-serif"/>
          <w:b/>
          <w:color w:val="000000"/>
          <w:sz w:val="18"/>
        </w:rPr>
      </w:pPr>
      <w:r>
        <w:rPr>
          <w:rFonts w:ascii="Arial;sans-serif" w:hAnsi="Arial;sans-serif"/>
          <w:b/>
          <w:color w:val="000000"/>
          <w:sz w:val="18"/>
        </w:rPr>
        <w:t>Exhibit 97.1</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94" w:after="283"/>
        <w:jc w:val="center"/>
        <w:rPr>
          <w:rFonts w:ascii="Arial;sans-serif" w:hAnsi="Arial;sans-serif"/>
          <w:b/>
          <w:color w:val="000000"/>
          <w:sz w:val="22"/>
        </w:rPr>
      </w:pPr>
      <w:r>
        <w:rPr>
          <w:rFonts w:ascii="Arial;sans-serif" w:hAnsi="Arial;sans-serif"/>
          <w:b/>
          <w:color w:val="000000"/>
          <w:sz w:val="22"/>
        </w:rPr>
        <w:t>Compensation Recoupment Policy</w:t>
      </w:r>
    </w:p>
    <w:p>
      <w:pPr>
        <w:pStyle w:val="TextBody"/>
        <w:bidi w:val="0"/>
        <w:spacing w:before="9" w:after="283"/>
        <w:jc w:val="left"/>
        <w:rPr/>
      </w:pPr>
      <w:r>
        <w:rPr/>
      </w:r>
    </w:p>
    <w:p>
      <w:pPr>
        <w:pStyle w:val="TextBody"/>
        <w:bidi w:val="0"/>
        <w:spacing w:lineRule="auto" w:line="240" w:before="0" w:after="0"/>
        <w:ind w:left="0" w:right="0" w:hanging="720"/>
        <w:jc w:val="left"/>
        <w:rPr/>
      </w:pPr>
      <w:r>
        <w:rPr>
          <w:rFonts w:ascii="Arial;sans-serif" w:hAnsi="Arial;sans-serif"/>
          <w:b w:val="false"/>
          <w:color w:val="000000"/>
          <w:sz w:val="22"/>
        </w:rPr>
        <w:t>1.</w:t>
      </w:r>
      <w:r>
        <w:rPr>
          <w:rFonts w:ascii="Arial;sans-serif" w:hAnsi="Arial;sans-serif"/>
          <w:b w:val="false"/>
          <w:color w:val="000000"/>
          <w:sz w:val="22"/>
          <w:u w:val="single"/>
        </w:rPr>
        <w:t>Purpose</w:t>
      </w:r>
      <w:r>
        <w:rPr>
          <w:rFonts w:ascii="Arial;sans-serif" w:hAnsi="Arial;sans-serif"/>
          <w:b w:val="false"/>
          <w:color w:val="000000"/>
          <w:sz w:val="22"/>
        </w:rPr>
        <w:t>. The purpose of this Compensation Recoupment Policy (this “Policy”) is to describe the circumstances under which WillScot Mobile Mini Holdings Corp. (the “Company”) is required to or shall have the right to recover certain compensation paid to certain employees and independent contractors. Any references in compensation plans, agreements, equity awards or other policies to the Company’s “recoupment”, “clawback” or similarly named policy shall be deemed to refer to this Policy with respect to Incentive-Based Compensation or Time-Based Compensation Received on or after the Effective Date. With respect to Incentive-Based Compensation or Time-Based Compensation Received prior to the Effective Date, such references to the Company’s “recoupment”, “clawback” or similarly named policy in compensation plans, agreements, equity awards or other policies shall be deemed to refer to the Company’s “recoupment,” “clawback” or similarly named policy, if any, in effect prior to the Effective Date.</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2.</w:t>
      </w:r>
      <w:r>
        <w:rPr>
          <w:rFonts w:ascii="Arial;sans-serif" w:hAnsi="Arial;sans-serif"/>
          <w:b w:val="false"/>
          <w:color w:val="000000"/>
          <w:sz w:val="22"/>
          <w:u w:val="single"/>
        </w:rPr>
        <w:t>Mandatory Recovery of Compensation</w:t>
      </w:r>
      <w:r>
        <w:rPr>
          <w:rFonts w:ascii="Arial;sans-serif" w:hAnsi="Arial;sans-serif"/>
          <w:b w:val="false"/>
          <w:color w:val="000000"/>
          <w:sz w:val="22"/>
        </w:rPr>
        <w:t>. In the event that the Company is required to prepare an Accounting Restatement, the Company shall recover reasonably promptly the amount of Erroneously Awarded Compensation.</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3.</w:t>
      </w:r>
      <w:r>
        <w:rPr>
          <w:rFonts w:ascii="Arial;sans-serif" w:hAnsi="Arial;sans-serif"/>
          <w:b w:val="false"/>
          <w:color w:val="000000"/>
          <w:sz w:val="22"/>
          <w:u w:val="single"/>
        </w:rPr>
        <w:t>Discretionary Recovery of Compensation</w:t>
      </w:r>
      <w:r>
        <w:rPr>
          <w:rFonts w:ascii="Arial;sans-serif" w:hAnsi="Arial;sans-serif"/>
          <w:b w:val="false"/>
          <w:color w:val="000000"/>
          <w:sz w:val="22"/>
        </w:rPr>
        <w:t>. In the event that, in the Committee’s judgment, a Covered Officer has engaged in conduct that (a) represents a violation of Company policy or law, is otherwise contrary to the best interests of the Company or constitutes a failure to appropriately identify, escalate, monitor or manage material risks to the Company, and (b) has caused, or might reasonably be expected to cause, significant reputational or financial harm to the Company, the Committee may instruct the Company, and the Company shall be entitled, to require reimbursement of, or reduce or cancel, Incentive-Based Compensation or Time-Based Compensation paid or awarded to, or earned by, such Covered Officer (whether or not then serving as a Covered Officer) to the extent permitted by applicable law.</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4.</w:t>
      </w:r>
      <w:r>
        <w:rPr>
          <w:rFonts w:ascii="Arial;sans-serif" w:hAnsi="Arial;sans-serif"/>
          <w:b w:val="false"/>
          <w:color w:val="000000"/>
          <w:sz w:val="22"/>
          <w:u w:val="single"/>
        </w:rPr>
        <w:t>Definitions</w:t>
      </w:r>
      <w:r>
        <w:rPr>
          <w:rFonts w:ascii="Arial;sans-serif" w:hAnsi="Arial;sans-serif"/>
          <w:b w:val="false"/>
          <w:color w:val="000000"/>
          <w:sz w:val="22"/>
        </w:rPr>
        <w:t>. For purposes of this Policy, the following terms, when capitalized, shall have the meanings set forth below:</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(a)</w:t>
      </w:r>
      <w:r>
        <w:rPr>
          <w:color w:val="000000"/>
        </w:rPr>
        <w:t>“</w:t>
      </w:r>
      <w:r>
        <w:rPr>
          <w:rFonts w:ascii="Arial;sans-serif" w:hAnsi="Arial;sans-serif"/>
          <w:b w:val="false"/>
          <w:i/>
          <w:color w:val="000000"/>
          <w:sz w:val="22"/>
        </w:rPr>
        <w:t>Accounting Restatement</w:t>
      </w:r>
      <w:r>
        <w:rPr>
          <w:color w:val="000000"/>
        </w:rPr>
        <w:t xml:space="preserve">” </w:t>
      </w:r>
      <w:r>
        <w:rPr>
          <w:rFonts w:ascii="Arial;sans-serif" w:hAnsi="Arial;sans-serif"/>
          <w:b w:val="false"/>
          <w:color w:val="000000"/>
          <w:sz w:val="22"/>
        </w:rPr>
        <w:t>shall mean any accounting restatement required due to material noncompliance of the Company with any financial reporting requirement under the securities laws, including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(b)</w:t>
      </w:r>
      <w:r>
        <w:rPr>
          <w:color w:val="000000"/>
        </w:rPr>
        <w:t>“</w:t>
      </w:r>
      <w:r>
        <w:rPr>
          <w:rFonts w:ascii="Arial;sans-serif" w:hAnsi="Arial;sans-serif"/>
          <w:b w:val="false"/>
          <w:i/>
          <w:color w:val="000000"/>
          <w:sz w:val="22"/>
        </w:rPr>
        <w:t>Covered Officer</w:t>
      </w:r>
      <w:r>
        <w:rPr>
          <w:color w:val="000000"/>
        </w:rPr>
        <w:t xml:space="preserve">” </w:t>
      </w:r>
      <w:r>
        <w:rPr>
          <w:rFonts w:ascii="Arial;sans-serif" w:hAnsi="Arial;sans-serif"/>
          <w:b w:val="false"/>
          <w:color w:val="000000"/>
          <w:sz w:val="22"/>
        </w:rPr>
        <w:t>shall mean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significant policy-making function; or any other person who performs similar significant policy-making functions for the Company.</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(c)</w:t>
      </w:r>
      <w:r>
        <w:rPr>
          <w:color w:val="000000"/>
        </w:rPr>
        <w:t>“</w:t>
      </w:r>
      <w:r>
        <w:rPr>
          <w:rFonts w:ascii="Arial;sans-serif" w:hAnsi="Arial;sans-serif"/>
          <w:b w:val="false"/>
          <w:i/>
          <w:color w:val="000000"/>
          <w:sz w:val="22"/>
        </w:rPr>
        <w:t>Effective Date</w:t>
      </w:r>
      <w:r>
        <w:rPr>
          <w:color w:val="000000"/>
        </w:rPr>
        <w:t xml:space="preserve">” </w:t>
      </w:r>
      <w:r>
        <w:rPr>
          <w:rFonts w:ascii="Arial;sans-serif" w:hAnsi="Arial;sans-serif"/>
          <w:b w:val="false"/>
          <w:color w:val="000000"/>
          <w:sz w:val="22"/>
        </w:rPr>
        <w:t>shall mean October 2, 2023.</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(d)</w:t>
      </w:r>
      <w:r>
        <w:rPr>
          <w:color w:val="000000"/>
        </w:rPr>
        <w:t>“</w:t>
      </w:r>
      <w:r>
        <w:rPr>
          <w:rFonts w:ascii="Arial;sans-serif" w:hAnsi="Arial;sans-serif"/>
          <w:b w:val="false"/>
          <w:i/>
          <w:color w:val="000000"/>
          <w:sz w:val="22"/>
        </w:rPr>
        <w:t>Erroneously Awarded Compensation</w:t>
      </w:r>
      <w:r>
        <w:rPr>
          <w:color w:val="000000"/>
        </w:rPr>
        <w:t xml:space="preserve">” </w:t>
      </w:r>
      <w:r>
        <w:rPr>
          <w:rFonts w:ascii="Arial;sans-serif" w:hAnsi="Arial;sans-serif"/>
          <w:b w:val="false"/>
          <w:color w:val="000000"/>
          <w:sz w:val="22"/>
        </w:rPr>
        <w:t>shall mean the excess of (i) the amount of Incentive-Based Compensation Received by a person (A) after beginning service as a Covered Officer, (B) who served as a Covered Officer at any time during the performance period for that Incentive-Based Compensation, (C) while the Company has a class of securities listed on a national securities exchange or a national securities association and (D) during the Recovery Period; over (ii) the Recalculated Compensation. For the avoidance of doubt, a person who served as a Covered Officer during the periods set forth in clauses (A) and (B) of the preceding sentence shall continue to be subject to this Policy even after such person’s service as a Covered Officer has ended.</w:t>
      </w:r>
    </w:p>
    <w:p>
      <w:pPr>
        <w:pStyle w:val="TextBody"/>
        <w:bidi w:val="0"/>
        <w:ind w:left="0" w:right="0" w:hanging="360"/>
        <w:jc w:val="both"/>
        <w:rPr/>
      </w:pPr>
      <w:r>
        <w:rPr/>
      </w:r>
    </w:p>
    <w:p>
      <w:pPr>
        <w:pStyle w:val="TextBody"/>
        <w:bidi w:val="0"/>
        <w:spacing w:lineRule="auto" w:line="240" w:before="0" w:after="0"/>
        <w:jc w:val="right"/>
        <w:rPr>
          <w:rFonts w:ascii="Arial;sans-serif" w:hAnsi="Arial;sans-serif"/>
          <w:b/>
          <w:color w:val="000000"/>
          <w:sz w:val="18"/>
        </w:rPr>
      </w:pPr>
      <w:r>
        <w:rPr>
          <w:rFonts w:ascii="Arial;sans-serif" w:hAnsi="Arial;sans-serif"/>
          <w:b/>
          <w:color w:val="000000"/>
          <w:sz w:val="18"/>
        </w:rPr>
        <w:t>Exhibit 97.1</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720"/>
        <w:jc w:val="left"/>
        <w:rPr/>
      </w:pPr>
      <w:r>
        <w:rPr>
          <w:rFonts w:ascii="Arial;sans-serif" w:hAnsi="Arial;sans-serif"/>
          <w:b w:val="false"/>
          <w:color w:val="000000"/>
          <w:sz w:val="22"/>
        </w:rPr>
        <w:t>(e)</w:t>
      </w:r>
      <w:r>
        <w:rPr>
          <w:color w:val="000000"/>
        </w:rPr>
        <w:t>“</w:t>
      </w:r>
      <w:r>
        <w:rPr>
          <w:rFonts w:ascii="Arial;sans-serif" w:hAnsi="Arial;sans-serif"/>
          <w:b w:val="false"/>
          <w:i/>
          <w:color w:val="000000"/>
          <w:sz w:val="22"/>
        </w:rPr>
        <w:t>Incentive-Based Compensation</w:t>
      </w:r>
      <w:r>
        <w:rPr>
          <w:color w:val="000000"/>
        </w:rPr>
        <w:t xml:space="preserve">” </w:t>
      </w:r>
      <w:r>
        <w:rPr>
          <w:rFonts w:ascii="Arial;sans-serif" w:hAnsi="Arial;sans-serif"/>
          <w:b w:val="false"/>
          <w:color w:val="000000"/>
          <w:sz w:val="22"/>
        </w:rPr>
        <w:t>shall mean any compensation that is granted, earned, or vested based wholly or in part upon the attainment of a financial reporting measure. A financial reporting measure is a measure that is determined and presented in accordance with the accounting principles used in preparing the Company’s financial statements, and any measures that are derived wholly or in part from such measures, regardless of whether such measure is presented within the financial statements or included in a filing with the Securities Exchange Commission. Each of stock price and total shareholder return is a financial reporting measure.</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(f)</w:t>
      </w:r>
      <w:r>
        <w:rPr>
          <w:color w:val="000000"/>
        </w:rPr>
        <w:t>“</w:t>
      </w:r>
      <w:r>
        <w:rPr>
          <w:rFonts w:ascii="Arial;sans-serif" w:hAnsi="Arial;sans-serif"/>
          <w:b w:val="false"/>
          <w:i/>
          <w:color w:val="000000"/>
          <w:sz w:val="22"/>
        </w:rPr>
        <w:t>Recalculated Compensation</w:t>
      </w:r>
      <w:r>
        <w:rPr>
          <w:color w:val="000000"/>
        </w:rPr>
        <w:t xml:space="preserve">” </w:t>
      </w:r>
      <w:r>
        <w:rPr>
          <w:rFonts w:ascii="Arial;sans-serif" w:hAnsi="Arial;sans-serif"/>
          <w:b w:val="false"/>
          <w:color w:val="000000"/>
          <w:sz w:val="22"/>
        </w:rPr>
        <w:t>shall mean the amount of Incentive-Based Compensation that otherwise would have been Received had it been determined based on the restated amounts in the Accounting Restatement, computed without regard to any taxes paid. For Incentive-Based Compensation based on stock price or total shareholder return, where the amount of the Erroneously Awarded Compensation is not subject to mathematical recalculation directly from the information in an Accounting Restatement, the amount of the Recalculated Compensation must be based on a reasonable estimate of the effect of the Accounting Restatement on the stock price or total shareholder return, as the case may be, on the compensation Received. The Company must maintain documentation of the determination of that reasonable estimate and provide such documentation to the national securities exchange or association on which its securities are listed. The Covered Officer shall be entitled to receive a copy of the Recalculated Compensation documentation and the reasonable estimate thereof within 5 business days of completion.</w:t>
      </w:r>
    </w:p>
    <w:p>
      <w:pPr>
        <w:pStyle w:val="TextBody"/>
        <w:bidi w:val="0"/>
        <w:spacing w:lineRule="auto" w:line="240" w:before="0" w:after="0"/>
        <w:ind w:left="0" w:right="0" w:hanging="720"/>
        <w:jc w:val="left"/>
        <w:rPr/>
      </w:pPr>
      <w:r>
        <w:rPr>
          <w:rFonts w:ascii="Arial;sans-serif" w:hAnsi="Arial;sans-serif"/>
          <w:b w:val="false"/>
          <w:color w:val="000000"/>
          <w:sz w:val="22"/>
        </w:rPr>
        <w:t>(g)Incentive-Based Compensation is deemed “</w:t>
      </w:r>
      <w:r>
        <w:rPr>
          <w:rFonts w:ascii="Arial;sans-serif" w:hAnsi="Arial;sans-serif"/>
          <w:b w:val="false"/>
          <w:i/>
          <w:color w:val="000000"/>
          <w:sz w:val="22"/>
        </w:rPr>
        <w:t>Received</w:t>
      </w:r>
      <w:r>
        <w:rPr>
          <w:color w:val="000000"/>
        </w:rPr>
        <w:t xml:space="preserve">” </w:t>
      </w:r>
      <w:r>
        <w:rPr>
          <w:rFonts w:ascii="Arial;sans-serif" w:hAnsi="Arial;sans-serif"/>
          <w:b w:val="false"/>
          <w:color w:val="000000"/>
          <w:sz w:val="22"/>
        </w:rPr>
        <w:t>in the Company’s fiscal period during which the financial reporting measure specified in the award of such Incentive-Based Compensation is attained, even if the payment or grant of the Incentive-Based Compensation occurs after the end of that period. Time-Based Compensation is “</w:t>
      </w:r>
      <w:r>
        <w:rPr>
          <w:rFonts w:ascii="Arial;sans-serif" w:hAnsi="Arial;sans-serif"/>
          <w:b w:val="false"/>
          <w:i/>
          <w:color w:val="000000"/>
          <w:sz w:val="22"/>
        </w:rPr>
        <w:t>Received</w:t>
      </w:r>
      <w:r>
        <w:rPr>
          <w:color w:val="000000"/>
        </w:rPr>
        <w:t xml:space="preserve">” </w:t>
      </w:r>
      <w:r>
        <w:rPr>
          <w:rFonts w:ascii="Arial;sans-serif" w:hAnsi="Arial;sans-serif"/>
          <w:b w:val="false"/>
          <w:color w:val="000000"/>
          <w:sz w:val="22"/>
        </w:rPr>
        <w:t xml:space="preserve">in the year of payment or settlement. </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(h)</w:t>
      </w:r>
      <w:r>
        <w:rPr>
          <w:color w:val="000000"/>
        </w:rPr>
        <w:t>“</w:t>
      </w:r>
      <w:r>
        <w:rPr>
          <w:rFonts w:ascii="Arial;sans-serif" w:hAnsi="Arial;sans-serif"/>
          <w:b w:val="false"/>
          <w:i/>
          <w:color w:val="000000"/>
          <w:sz w:val="22"/>
        </w:rPr>
        <w:t>Recovery Period</w:t>
      </w:r>
      <w:r>
        <w:rPr>
          <w:color w:val="000000"/>
        </w:rPr>
        <w:t xml:space="preserve">” </w:t>
      </w:r>
      <w:r>
        <w:rPr>
          <w:rFonts w:ascii="Arial;sans-serif" w:hAnsi="Arial;sans-serif"/>
          <w:b w:val="false"/>
          <w:color w:val="000000"/>
          <w:sz w:val="22"/>
        </w:rPr>
        <w:t xml:space="preserve">shall mean the three completed fiscal years of the Company immediately preceding the date the Company is required to prepare an Accounting Restatement; provided that the Recovery Period shall not begin before the Effective Date. For purposes of determining the Recovery Period, the Company is considered to be “required to prepare an Accounting Restatement” on the earlier to occur of: (i) the date the Company’s Board of Directors, a committee thereof, or the Company’s authorized officers conclude, or reasonably should have concluded, that the Company is required to prepare an Accounting Restatement, or (ii) the date a court, regulator, or other legally authorized body directs the Company to prepare an Accounting Restatement. If the Company changes its fiscal year, then the transition period within or immediately following such three completed fiscal years also shall be included in the Recovery Period, provided that if the transition period between the last day of the Company’s prior fiscal year end and the first day of its new fiscal year comprises a period of nine to 12 months, then such transition period shall instead be deemed one of the three completed fiscal years and shall not extend the length of the Recovery Period. </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(i)</w:t>
      </w:r>
      <w:r>
        <w:rPr>
          <w:color w:val="000000"/>
        </w:rPr>
        <w:t>“</w:t>
      </w:r>
      <w:r>
        <w:rPr>
          <w:rFonts w:ascii="Arial;sans-serif" w:hAnsi="Arial;sans-serif"/>
          <w:b w:val="false"/>
          <w:i/>
          <w:color w:val="000000"/>
          <w:sz w:val="22"/>
        </w:rPr>
        <w:t>Time-Based Compensation</w:t>
      </w:r>
      <w:r>
        <w:rPr>
          <w:color w:val="000000"/>
        </w:rPr>
        <w:t xml:space="preserve">” </w:t>
      </w:r>
      <w:r>
        <w:rPr>
          <w:rFonts w:ascii="Arial;sans-serif" w:hAnsi="Arial;sans-serif"/>
          <w:b w:val="false"/>
          <w:color w:val="000000"/>
          <w:sz w:val="22"/>
        </w:rPr>
        <w:t xml:space="preserve">shall mean any compensation that is paid pursuant to an equity-based award granted under the Company’s 2020 Incentive Award Plan (or any successor plan thereto), whether settled in cash, the Company’s common stock or a combination thereof, and that is not Incentive-Based Compensation. </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5.</w:t>
      </w:r>
      <w:r>
        <w:rPr>
          <w:rFonts w:ascii="Arial;sans-serif" w:hAnsi="Arial;sans-serif"/>
          <w:b w:val="false"/>
          <w:color w:val="000000"/>
          <w:sz w:val="22"/>
          <w:u w:val="single"/>
        </w:rPr>
        <w:t>Exceptions</w:t>
      </w:r>
      <w:r>
        <w:rPr>
          <w:rFonts w:ascii="Arial;sans-serif" w:hAnsi="Arial;sans-serif"/>
          <w:b w:val="false"/>
          <w:color w:val="000000"/>
          <w:sz w:val="22"/>
        </w:rPr>
        <w:t>. Notwithstanding anything to the contrary in this Policy, recovery of Erroneously Awarded Compensation will not be required to the extent the Company’s committee of independent directors responsible for executive compensation decisions (or a majority of the independent directors on the Company’s board of directors in the absence of such a committee) has made a determination that such recovery would be impracticable and one of the following conditions have been satisfied:</w:t>
      </w:r>
    </w:p>
    <w:p>
      <w:pPr>
        <w:pStyle w:val="TextBody"/>
        <w:bidi w:val="0"/>
        <w:ind w:left="0" w:right="0" w:hanging="360"/>
        <w:jc w:val="both"/>
        <w:rPr/>
      </w:pPr>
      <w:r>
        <w:rPr/>
      </w:r>
    </w:p>
    <w:p>
      <w:pPr>
        <w:pStyle w:val="TextBody"/>
        <w:bidi w:val="0"/>
        <w:spacing w:lineRule="auto" w:line="240" w:before="0" w:after="0"/>
        <w:jc w:val="right"/>
        <w:rPr>
          <w:rFonts w:ascii="Arial;sans-serif" w:hAnsi="Arial;sans-serif"/>
          <w:b/>
          <w:color w:val="000000"/>
          <w:sz w:val="18"/>
        </w:rPr>
      </w:pPr>
      <w:r>
        <w:rPr>
          <w:rFonts w:ascii="Arial;sans-serif" w:hAnsi="Arial;sans-serif"/>
          <w:b/>
          <w:color w:val="000000"/>
          <w:sz w:val="18"/>
        </w:rPr>
        <w:t>Exhibit 97.1</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720"/>
        <w:jc w:val="left"/>
        <w:rPr>
          <w:rFonts w:ascii="Arial;sans-serif" w:hAnsi="Arial;sans-serif"/>
          <w:b w:val="false"/>
          <w:color w:val="000000"/>
          <w:sz w:val="22"/>
        </w:rPr>
      </w:pPr>
      <w:r>
        <w:rPr>
          <w:rFonts w:ascii="Arial;sans-serif" w:hAnsi="Arial;sans-serif"/>
          <w:b w:val="false"/>
          <w:color w:val="000000"/>
          <w:sz w:val="22"/>
        </w:rPr>
        <w:t>(a)The direct expense paid to a third party to assist in enforcing this Policy would exceed the amount to be recovered; provided that, before concluding that it would be impracticable to recover any amount of Erroneously Awarded Compensation that was Incentive-Based Compensation based on the expense of enforcement, the Company must make a reasonable attempt to recover such Erroneously Awarded Compensation, document such reasonable attempt(s) to recover, and provide that documentation to the national securities exchange or association on which its securities are listed.</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rFonts w:ascii="Arial;sans-serif" w:hAnsi="Arial;sans-serif"/>
          <w:b w:val="false"/>
          <w:color w:val="000000"/>
          <w:sz w:val="22"/>
        </w:rPr>
      </w:pPr>
      <w:r>
        <w:rPr>
          <w:rFonts w:ascii="Arial;sans-serif" w:hAnsi="Arial;sans-serif"/>
          <w:b w:val="false"/>
          <w:color w:val="000000"/>
          <w:sz w:val="22"/>
        </w:rPr>
        <w:t xml:space="preserve">(b)Recovery would violate home country law where, with respect to Incentive-Based Compensation, that law was adopted prior to November 28, 2022; provided that, before concluding that it would be impracticable to recover any amount of Erroneously Awarded Compensation that was Incentive-Based Compensation based on violation of home country law, the Company must obtain an opinion of home country counsel, acceptable to the national securities exchange or association on which its securities are listed, that recovery would result in such a violation, and must provide such opinion to the exchange or association. </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rFonts w:ascii="Arial;sans-serif" w:hAnsi="Arial;sans-serif"/>
          <w:b w:val="false"/>
          <w:color w:val="000000"/>
          <w:sz w:val="22"/>
        </w:rPr>
      </w:pPr>
      <w:r>
        <w:rPr>
          <w:rFonts w:ascii="Arial;sans-serif" w:hAnsi="Arial;sans-serif"/>
          <w:b w:val="false"/>
          <w:color w:val="000000"/>
          <w:sz w:val="22"/>
        </w:rPr>
        <w:t>(c)Recovery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6.</w:t>
      </w:r>
      <w:r>
        <w:rPr>
          <w:rFonts w:ascii="Arial;sans-serif" w:hAnsi="Arial;sans-serif"/>
          <w:b w:val="false"/>
          <w:color w:val="000000"/>
          <w:sz w:val="22"/>
          <w:u w:val="single"/>
        </w:rPr>
        <w:t>Manner of Recovery</w:t>
      </w:r>
      <w:r>
        <w:rPr>
          <w:rFonts w:ascii="Arial;sans-serif" w:hAnsi="Arial;sans-serif"/>
          <w:b w:val="false"/>
          <w:color w:val="000000"/>
          <w:sz w:val="22"/>
        </w:rPr>
        <w:t xml:space="preserve">. In addition to any other actions permitted by law or contract, the Company may take any or all of the following actions to recover any Erroneously Awarded Compensation: (a) require the Covered Officer to repay such amount; (b) offset such amount from any other compensation owed by the Company or any of its affiliates to the Covered Officer, regardless of whether the contract or other documentation governing such other compensation specifically permits or specifically prohibits such offsets; and (c) subject to Section 5(c), to the extent the Erroneously Awarded Compensation was deferred into a plan of deferred compensation, whether or not qualified, forfeit such amount (as well as the earnings on such amounts) from the Covered Officer’s balance in such plan, regardless of whether the plan specifically permits or specifically prohibits such forfeiture. If the Erroneously Awarded Compensation consists of shares of the Company’s common stock, and the Covered Officer still owns such shares, then the Company may satisfy its recovery obligations by requiring the Covered Officer to transfer such shares back to the Company. </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pPr>
      <w:r>
        <w:rPr>
          <w:rFonts w:ascii="Arial;sans-serif" w:hAnsi="Arial;sans-serif"/>
          <w:b w:val="false"/>
          <w:color w:val="000000"/>
          <w:sz w:val="22"/>
        </w:rPr>
        <w:t>7.</w:t>
      </w:r>
      <w:r>
        <w:rPr>
          <w:rFonts w:ascii="Arial;sans-serif" w:hAnsi="Arial;sans-serif"/>
          <w:b w:val="false"/>
          <w:color w:val="000000"/>
          <w:sz w:val="22"/>
          <w:u w:val="single"/>
        </w:rPr>
        <w:t>Other</w:t>
      </w:r>
      <w:r>
        <w:rPr>
          <w:rFonts w:ascii="Arial;sans-serif" w:hAnsi="Arial;sans-serif"/>
          <w:b w:val="false"/>
          <w:color w:val="000000"/>
          <w:sz w:val="22"/>
        </w:rPr>
        <w:t xml:space="preserve">. </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rFonts w:ascii="Arial;sans-serif" w:hAnsi="Arial;sans-serif"/>
          <w:b w:val="false"/>
          <w:color w:val="000000"/>
          <w:sz w:val="22"/>
        </w:rPr>
      </w:pPr>
      <w:r>
        <w:rPr>
          <w:rFonts w:ascii="Arial;sans-serif" w:hAnsi="Arial;sans-serif"/>
          <w:b w:val="false"/>
          <w:color w:val="000000"/>
          <w:sz w:val="22"/>
        </w:rPr>
        <w:t xml:space="preserve">(a)The Committee will have sole discretion in making all determinations under this Policy, and the determinations of the Committee shall be binding on all Covered Officers. </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rFonts w:ascii="Arial;sans-serif" w:hAnsi="Arial;sans-serif"/>
          <w:b w:val="false"/>
          <w:color w:val="000000"/>
          <w:sz w:val="22"/>
        </w:rPr>
      </w:pPr>
      <w:r>
        <w:rPr>
          <w:rFonts w:ascii="Arial;sans-serif" w:hAnsi="Arial;sans-serif"/>
          <w:b w:val="false"/>
          <w:color w:val="000000"/>
          <w:sz w:val="22"/>
        </w:rPr>
        <w:t>(b)This Policy shall be binding upon and enforceable against the Covered Officers. A Covered Officer will not be entitled to payment of legal fees or indemnification from the Company with respect to any dispute between the Company and the Covered Officer under this Policy, or with respect to any loss of Erroneously Awarded Compensation.</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rFonts w:ascii="Arial;sans-serif" w:hAnsi="Arial;sans-serif"/>
          <w:b w:val="false"/>
          <w:color w:val="000000"/>
          <w:sz w:val="22"/>
        </w:rPr>
      </w:pPr>
      <w:r>
        <w:rPr>
          <w:rFonts w:ascii="Arial;sans-serif" w:hAnsi="Arial;sans-serif"/>
          <w:b w:val="false"/>
          <w:color w:val="000000"/>
          <w:sz w:val="22"/>
        </w:rPr>
        <w:t xml:space="preserve">(c)The Company shall file all disclosures with respect to this Policy in accordance with the requirements of the Federal securities laws, including disclosure required by the Securities Exchange Commission filings. </w:t>
      </w:r>
    </w:p>
    <w:p>
      <w:pPr>
        <w:pStyle w:val="TextBody"/>
        <w:bidi w:val="0"/>
        <w:spacing w:before="0" w:after="0"/>
        <w:ind w:left="0" w:right="0" w:hanging="360"/>
        <w:jc w:val="both"/>
        <w:rPr/>
      </w:pPr>
      <w:r>
        <w:rPr/>
      </w:r>
    </w:p>
    <w:p>
      <w:pPr>
        <w:pStyle w:val="TextBody"/>
        <w:bidi w:val="0"/>
        <w:spacing w:lineRule="auto" w:line="240" w:before="0" w:after="0"/>
        <w:ind w:left="0" w:right="0" w:hanging="720"/>
        <w:jc w:val="left"/>
        <w:rPr>
          <w:rFonts w:ascii="Arial;sans-serif" w:hAnsi="Arial;sans-serif"/>
          <w:b w:val="false"/>
          <w:color w:val="000000"/>
          <w:sz w:val="22"/>
        </w:rPr>
      </w:pPr>
      <w:r>
        <w:rPr>
          <w:rFonts w:ascii="Arial;sans-serif" w:hAnsi="Arial;sans-serif"/>
          <w:b w:val="false"/>
          <w:color w:val="000000"/>
          <w:sz w:val="22"/>
        </w:rPr>
        <w:t>(d)Any Incentive-Based Compensation that has been recovered under one section of this Policy shall not, after such recovery, be recoverable under another section of this Policy. Any right to recovery under this Policy shall be in addition to, and not in lieu of, any other rights of recovery that may be available to the Company.</w:t>
      </w:r>
    </w:p>
    <w:p>
      <w:pPr>
        <w:pStyle w:val="TextBody"/>
        <w:bidi w:val="0"/>
        <w:jc w:val="left"/>
        <w:rPr/>
      </w:pPr>
      <w:r>
        <w:rPr/>
      </w:r>
    </w:p>
    <w:p>
      <w:pPr>
        <w:pStyle w:val="TextBody"/>
        <w:bidi w:val="0"/>
        <w:spacing w:lineRule="auto" w:line="240" w:before="0" w:after="0"/>
        <w:jc w:val="right"/>
        <w:rPr>
          <w:rFonts w:ascii="Arial;sans-serif" w:hAnsi="Arial;sans-serif"/>
          <w:b/>
          <w:color w:val="000000"/>
          <w:sz w:val="18"/>
        </w:rPr>
      </w:pPr>
      <w:r>
        <w:rPr>
          <w:rFonts w:ascii="Arial;sans-serif" w:hAnsi="Arial;sans-serif"/>
          <w:b/>
          <w:color w:val="000000"/>
          <w:sz w:val="18"/>
        </w:rPr>
        <w:t>Exhibit 97.1</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720"/>
        <w:jc w:val="left"/>
        <w:rPr/>
      </w:pPr>
      <w:r>
        <w:rPr>
          <w:rFonts w:ascii="Arial;sans-serif" w:hAnsi="Arial;sans-serif"/>
          <w:b w:val="false"/>
          <w:color w:val="000000"/>
          <w:sz w:val="22"/>
        </w:rPr>
        <w:t xml:space="preserve">(e)Each of the Committee and the Company’s Board of Directors, in their discretion, may modify or amend, in whole or in part, any or all of the provisions of this Policy and may suspend any provision hereof from time to time, and such modifications or amendments shall apply prospectively to grants and awards that have yet to be awarded, and not retrospectively, in each case except as otherwise required by law </w:t>
      </w:r>
      <w:r>
        <w:rPr>
          <w:rFonts w:ascii="Arial;sans-serif" w:hAnsi="Arial;sans-serif"/>
          <w:b w:val="false"/>
          <w:color w:val="2F5496"/>
          <w:sz w:val="22"/>
        </w:rPr>
        <w:t>or the rule of the relevant stock exchange</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240" w:before="0" w:after="240"/>
        <w:ind w:left="0" w:right="0" w:hanging="720"/>
        <w:jc w:val="left"/>
        <w:rPr>
          <w:rFonts w:ascii="Arial;sans-serif" w:hAnsi="Arial;sans-serif"/>
          <w:b w:val="false"/>
          <w:color w:val="000000"/>
          <w:sz w:val="22"/>
        </w:rPr>
      </w:pPr>
      <w:r>
        <w:rPr>
          <w:rFonts w:ascii="Arial;sans-serif" w:hAnsi="Arial;sans-serif"/>
          <w:b w:val="false"/>
          <w:color w:val="000000"/>
          <w:sz w:val="22"/>
        </w:rPr>
        <w:t>(f)This Policy, and all rights and obligations hereunder, shall be governed by, except to the extent preempted by other applicable laws, the internal laws of the State of Delaware (without reference to conflict of law principles thereof).</w:t>
      </w:r>
    </w:p>
    <w:p>
      <w:pPr>
        <w:pStyle w:val="TextBody"/>
        <w:bidi w:val="0"/>
        <w:spacing w:before="10" w:after="283"/>
        <w:jc w:val="center"/>
        <w:rPr/>
      </w:pPr>
      <w:r>
        <w:rPr/>
      </w:r>
    </w:p>
    <w:p>
      <w:pPr>
        <w:pStyle w:val="TextBody"/>
        <w:bidi w:val="0"/>
        <w:spacing w:before="0" w:after="283"/>
        <w:jc w:val="left"/>
        <w:rPr/>
      </w:pPr>
      <w:r>
        <w:rPr/>
      </w:r>
    </w:p>
    <w:p>
      <w:pPr>
        <w:pStyle w:val="TextBody"/>
        <w:bidi w:val="0"/>
        <w:spacing w:lineRule="auto" w:line="240" w:before="0" w:after="0"/>
        <w:jc w:val="right"/>
        <w:rPr>
          <w:rFonts w:ascii="Arial;sans-serif" w:hAnsi="Arial;sans-serif"/>
          <w:b/>
          <w:color w:val="000000"/>
          <w:sz w:val="18"/>
        </w:rPr>
      </w:pPr>
      <w:r>
        <w:rPr>
          <w:rFonts w:ascii="Arial;sans-serif" w:hAnsi="Arial;sans-serif"/>
          <w:b/>
          <w:color w:val="000000"/>
          <w:sz w:val="18"/>
        </w:rPr>
        <w:t>Exhibit 97.1</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2"/>
        </w:rPr>
      </w:pPr>
      <w:r>
        <w:rPr>
          <w:rFonts w:ascii="Arial;sans-serif" w:hAnsi="Arial;sans-serif"/>
          <w:b/>
          <w:color w:val="000000"/>
          <w:sz w:val="22"/>
        </w:rPr>
        <w:t>Compensation Recoupment Parameters</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Arial;sans-serif" w:hAnsi="Arial;sans-serif"/>
          <w:b w:val="false"/>
          <w:color w:val="000000"/>
          <w:sz w:val="22"/>
        </w:rPr>
        <w:t>1.A change from one generally accepted accounting principle to another generally accepted accounting principle when the accounting principle formerly used is no longer generally accepted does not, under current guidance,</w:t>
      </w:r>
      <w:r>
        <w:rPr>
          <w:color w:val="000000"/>
        </w:rPr>
        <w:t> </w:t>
      </w:r>
      <w:r>
        <w:rPr>
          <w:rFonts w:ascii="Arial;sans-serif" w:hAnsi="Arial;sans-serif"/>
          <w:b w:val="false"/>
          <w:color w:val="000000"/>
          <w:sz w:val="22"/>
        </w:rPr>
        <w:t>represent an error correction.</w:t>
      </w:r>
    </w:p>
    <w:p>
      <w:pPr>
        <w:pStyle w:val="TextBody"/>
        <w:bidi w:val="0"/>
        <w:spacing w:before="0" w:after="0"/>
        <w:ind w:left="0" w:right="0" w:hanging="360"/>
        <w:jc w:val="both"/>
        <w:rPr/>
      </w:pPr>
      <w:r>
        <w:rPr/>
      </w:r>
    </w:p>
    <w:p>
      <w:pPr>
        <w:pStyle w:val="TextBody"/>
        <w:bidi w:val="0"/>
        <w:spacing w:lineRule="auto" w:line="240" w:before="0" w:after="0"/>
        <w:ind w:left="0" w:right="0" w:hanging="360"/>
        <w:jc w:val="left"/>
        <w:rPr>
          <w:rFonts w:ascii="Arial;sans-serif" w:hAnsi="Arial;sans-serif"/>
          <w:b w:val="false"/>
          <w:color w:val="000000"/>
          <w:sz w:val="22"/>
        </w:rPr>
      </w:pPr>
      <w:r>
        <w:rPr>
          <w:rFonts w:ascii="Arial;sans-serif" w:hAnsi="Arial;sans-serif"/>
          <w:b w:val="false"/>
          <w:color w:val="000000"/>
          <w:sz w:val="22"/>
        </w:rPr>
        <w:t>2.Options, Base Salary and RSUs will not be considered incentive-based compensation because they are neither granted nor vested based on a financial measure.</w:t>
      </w:r>
    </w:p>
    <w:p>
      <w:pPr>
        <w:pStyle w:val="TextBody"/>
        <w:bidi w:val="0"/>
        <w:spacing w:lineRule="auto" w:line="240" w:before="0" w:after="0"/>
        <w:ind w:left="0" w:right="0" w:hanging="360"/>
        <w:jc w:val="left"/>
        <w:rPr>
          <w:rFonts w:ascii="Arial;sans-serif" w:hAnsi="Arial;sans-serif"/>
          <w:b w:val="false"/>
          <w:color w:val="000000"/>
          <w:sz w:val="22"/>
        </w:rPr>
      </w:pPr>
      <w:r>
        <w:rPr>
          <w:rFonts w:ascii="Arial;sans-serif" w:hAnsi="Arial;sans-serif"/>
          <w:b w:val="false"/>
          <w:color w:val="000000"/>
          <w:sz w:val="22"/>
        </w:rPr>
        <w:t>3.PSUs granted during the 3-year look back period but for which the performance period does not conclude during such three-year look back period would not require recalculation because the compensation is not considered “received” during the applicable look back period for purposes of this policy.</w:t>
      </w:r>
    </w:p>
    <w:p>
      <w:pPr>
        <w:pStyle w:val="TextBody"/>
        <w:bidi w:val="0"/>
        <w:spacing w:lineRule="auto" w:line="240" w:before="0" w:after="0"/>
        <w:ind w:left="0" w:right="0" w:hanging="360"/>
        <w:jc w:val="left"/>
        <w:rPr>
          <w:rFonts w:ascii="Arial;sans-serif" w:hAnsi="Arial;sans-serif"/>
          <w:b w:val="false"/>
          <w:color w:val="000000"/>
          <w:sz w:val="22"/>
        </w:rPr>
      </w:pPr>
      <w:r>
        <w:rPr>
          <w:rFonts w:ascii="Arial;sans-serif" w:hAnsi="Arial;sans-serif"/>
          <w:b w:val="false"/>
          <w:color w:val="000000"/>
          <w:sz w:val="22"/>
        </w:rPr>
        <w:t>4.If the incentive-based compensation metric at issue is only dependent upon, for example, Net Income, Adjusted EBITDA, Revenues or Free Cash Flow and are not materially impacted individually or collectively, then no further calculations are required; in each case as the capitalized terms are defined by the Company’s description of non-GAAP measures in place during the lookback period.</w:t>
      </w:r>
    </w:p>
    <w:p>
      <w:pPr>
        <w:pStyle w:val="TextBody"/>
        <w:bidi w:val="0"/>
        <w:spacing w:lineRule="auto" w:line="240" w:before="0" w:after="0"/>
        <w:ind w:left="0" w:right="0" w:hanging="360"/>
        <w:jc w:val="left"/>
        <w:rPr/>
      </w:pPr>
      <w:r>
        <w:rPr>
          <w:rFonts w:ascii="Arial;sans-serif" w:hAnsi="Arial;sans-serif"/>
          <w:b w:val="false"/>
          <w:color w:val="000000"/>
          <w:sz w:val="22"/>
        </w:rPr>
        <w:t>5.</w:t>
      </w:r>
      <w:r>
        <w:rPr>
          <w:rFonts w:ascii="Arial;sans-serif" w:hAnsi="Arial;sans-serif"/>
          <w:b/>
          <w:color w:val="000000"/>
          <w:sz w:val="22"/>
        </w:rPr>
        <w:t>Company Recalculation</w:t>
      </w:r>
    </w:p>
    <w:p>
      <w:pPr>
        <w:pStyle w:val="TextBody"/>
        <w:bidi w:val="0"/>
        <w:spacing w:lineRule="auto" w:line="240" w:before="0" w:after="0"/>
        <w:ind w:left="0" w:right="0" w:hanging="360"/>
        <w:jc w:val="left"/>
        <w:rPr>
          <w:rFonts w:ascii="Arial;sans-serif" w:hAnsi="Arial;sans-serif"/>
          <w:b w:val="false"/>
          <w:color w:val="000000"/>
          <w:sz w:val="22"/>
        </w:rPr>
      </w:pPr>
      <w:r>
        <w:rPr>
          <w:rFonts w:ascii="Arial;sans-serif" w:hAnsi="Arial;sans-serif"/>
          <w:b w:val="false"/>
          <w:color w:val="000000"/>
          <w:sz w:val="22"/>
        </w:rPr>
        <w:t>For restatements that impact performance metrics that can be recalculated directly based on updated financial statements (i.e., Adjusted EBITDA, Sales, Earnings Per Share, etc.) company finance and accounting to recalculate</w:t>
      </w:r>
    </w:p>
    <w:p>
      <w:pPr>
        <w:pStyle w:val="TextBody"/>
        <w:bidi w:val="0"/>
        <w:spacing w:lineRule="auto" w:line="240" w:before="0" w:after="0"/>
        <w:ind w:left="0" w:right="0" w:hanging="360"/>
        <w:jc w:val="left"/>
        <w:rPr>
          <w:rFonts w:ascii="Arial;sans-serif" w:hAnsi="Arial;sans-serif"/>
          <w:b w:val="false"/>
          <w:color w:val="000000"/>
          <w:sz w:val="22"/>
        </w:rPr>
      </w:pPr>
      <w:r>
        <w:rPr>
          <w:rFonts w:ascii="Arial;sans-serif" w:hAnsi="Arial;sans-serif"/>
          <w:b w:val="false"/>
          <w:color w:val="000000"/>
          <w:sz w:val="22"/>
        </w:rPr>
        <w:t xml:space="preserve">Compensation Committee to approve recalculated compensation and clawback amount based on company finance and accounting calculations. </w:t>
      </w:r>
    </w:p>
    <w:p>
      <w:pPr>
        <w:pStyle w:val="TextBody"/>
        <w:bidi w:val="0"/>
        <w:spacing w:lineRule="auto" w:line="240" w:before="0" w:after="0"/>
        <w:ind w:left="0" w:right="0" w:hanging="360"/>
        <w:jc w:val="left"/>
        <w:rPr/>
      </w:pPr>
      <w:r>
        <w:rPr>
          <w:rFonts w:ascii="Arial;sans-serif" w:hAnsi="Arial;sans-serif"/>
          <w:b w:val="false"/>
          <w:color w:val="000000"/>
          <w:sz w:val="22"/>
        </w:rPr>
        <w:t xml:space="preserve">For restatements that impact performance metrics that </w:t>
      </w:r>
      <w:r>
        <w:rPr>
          <w:rFonts w:ascii="Arial;sans-serif" w:hAnsi="Arial;sans-serif"/>
          <w:b w:val="false"/>
          <w:i/>
          <w:color w:val="000000"/>
          <w:sz w:val="22"/>
        </w:rPr>
        <w:t>cannot</w:t>
      </w:r>
      <w:r>
        <w:rPr>
          <w:color w:val="000000"/>
        </w:rPr>
        <w:t xml:space="preserve"> </w:t>
      </w:r>
      <w:r>
        <w:rPr>
          <w:rFonts w:ascii="Arial;sans-serif" w:hAnsi="Arial;sans-serif"/>
          <w:b w:val="false"/>
          <w:color w:val="000000"/>
          <w:sz w:val="22"/>
        </w:rPr>
        <w:t xml:space="preserve">be recalculated directly based on updated financial statements (i.e., TSR, Relative TSR, stock price, etc.) (the “Indirect Metrics”) Impose three-prong approach: </w:t>
      </w:r>
    </w:p>
    <w:p>
      <w:pPr>
        <w:pStyle w:val="TextBody"/>
        <w:bidi w:val="0"/>
        <w:spacing w:lineRule="auto" w:line="240" w:before="0" w:after="0"/>
        <w:ind w:left="0" w:right="0" w:hanging="360"/>
        <w:jc w:val="left"/>
        <w:rPr>
          <w:rFonts w:ascii="Arial;sans-serif" w:hAnsi="Arial;sans-serif"/>
          <w:b w:val="false"/>
          <w:color w:val="000000"/>
          <w:sz w:val="22"/>
        </w:rPr>
      </w:pPr>
      <w:r>
        <w:rPr>
          <w:rFonts w:ascii="Arial;sans-serif" w:hAnsi="Arial;sans-serif"/>
          <w:b w:val="false"/>
          <w:color w:val="000000"/>
          <w:sz w:val="22"/>
        </w:rPr>
        <w:t>#1: Until and unless a clear market practice develops to the contrary, engage third-party evaluators only when material</w:t>
      </w:r>
    </w:p>
    <w:p>
      <w:pPr>
        <w:pStyle w:val="TextBody"/>
        <w:bidi w:val="0"/>
        <w:spacing w:lineRule="auto" w:line="240" w:before="0" w:after="0"/>
        <w:ind w:left="0" w:right="0" w:hanging="360"/>
        <w:jc w:val="left"/>
        <w:rPr>
          <w:rFonts w:ascii="Arial;sans-serif" w:hAnsi="Arial;sans-serif"/>
          <w:b w:val="false"/>
          <w:color w:val="000000"/>
          <w:sz w:val="22"/>
        </w:rPr>
      </w:pPr>
      <w:r>
        <w:rPr>
          <w:rFonts w:ascii="Arial;sans-serif" w:hAnsi="Arial;sans-serif"/>
          <w:b w:val="false"/>
          <w:color w:val="000000"/>
          <w:sz w:val="22"/>
        </w:rPr>
        <w:t>Immaterial restatement, company finance, accounting, and board to assess likely impact to Indirect Metrics</w:t>
      </w:r>
    </w:p>
    <w:p>
      <w:pPr>
        <w:pStyle w:val="TextBody"/>
        <w:bidi w:val="0"/>
        <w:spacing w:lineRule="auto" w:line="240" w:before="0" w:after="0"/>
        <w:ind w:left="0" w:right="0" w:hanging="360"/>
        <w:jc w:val="left"/>
        <w:rPr>
          <w:rFonts w:ascii="Arial;sans-serif" w:hAnsi="Arial;sans-serif"/>
          <w:b w:val="false"/>
          <w:color w:val="000000"/>
          <w:sz w:val="22"/>
        </w:rPr>
      </w:pPr>
      <w:r>
        <w:rPr>
          <w:rFonts w:ascii="Arial;sans-serif" w:hAnsi="Arial;sans-serif"/>
          <w:b w:val="false"/>
          <w:color w:val="000000"/>
          <w:sz w:val="22"/>
        </w:rPr>
        <w:t>Material restatement, consider engaging third-party valuation firm to assess likely impact to Indirect Metrics</w:t>
      </w:r>
    </w:p>
    <w:p>
      <w:pPr>
        <w:pStyle w:val="TextBody"/>
        <w:bidi w:val="0"/>
        <w:spacing w:lineRule="auto" w:line="240" w:before="0" w:after="0"/>
        <w:ind w:left="0" w:right="0" w:hanging="360"/>
        <w:jc w:val="left"/>
        <w:rPr>
          <w:rFonts w:ascii="Arial;sans-serif" w:hAnsi="Arial;sans-serif"/>
          <w:b w:val="false"/>
          <w:color w:val="000000"/>
          <w:sz w:val="22"/>
        </w:rPr>
      </w:pPr>
      <w:r>
        <w:rPr>
          <w:rFonts w:ascii="Arial;sans-serif" w:hAnsi="Arial;sans-serif"/>
          <w:b w:val="false"/>
          <w:color w:val="000000"/>
          <w:sz w:val="22"/>
        </w:rPr>
        <w:t>#2: If clear market practice develops in favor of third-party evaluators, consider engaging third-party evaluators for all assessments of Indirect Metrics</w:t>
      </w:r>
    </w:p>
    <w:p>
      <w:pPr>
        <w:pStyle w:val="TextBody"/>
        <w:bidi w:val="0"/>
        <w:spacing w:lineRule="auto" w:line="240" w:before="0" w:after="0"/>
        <w:ind w:left="0" w:right="0" w:hanging="360"/>
        <w:jc w:val="left"/>
        <w:rPr>
          <w:rFonts w:ascii="Arial;sans-serif" w:hAnsi="Arial;sans-serif"/>
          <w:b w:val="false"/>
          <w:color w:val="000000"/>
          <w:sz w:val="22"/>
        </w:rPr>
      </w:pPr>
      <w:r>
        <w:rPr>
          <w:rFonts w:ascii="Arial;sans-serif" w:hAnsi="Arial;sans-serif"/>
          <w:b w:val="false"/>
          <w:color w:val="000000"/>
          <w:sz w:val="22"/>
        </w:rPr>
        <w:t xml:space="preserve">#3: Consider change in average share price in the 30-days post disclosure of the restatement with average share price in 30-days preceding the restatement announcement as an indicator of the change that likely would have resulted had the restated earnings been known at the time of the PSU vesting </w:t>
      </w:r>
    </w:p>
    <w:p>
      <w:pPr>
        <w:pStyle w:val="TextBody"/>
        <w:bidi w:val="0"/>
        <w:spacing w:lineRule="auto" w:line="240" w:before="0" w:after="0"/>
        <w:ind w:left="0" w:right="0" w:hanging="360"/>
        <w:jc w:val="left"/>
        <w:rPr/>
      </w:pPr>
      <w:r>
        <w:rPr>
          <w:rFonts w:ascii="Arial;sans-serif" w:hAnsi="Arial;sans-serif"/>
          <w:b w:val="false"/>
          <w:color w:val="000000"/>
          <w:sz w:val="22"/>
        </w:rPr>
        <w:t>6.</w:t>
      </w:r>
      <w:r>
        <w:rPr>
          <w:rFonts w:ascii="Arial;sans-serif" w:hAnsi="Arial;sans-serif"/>
          <w:b/>
          <w:color w:val="000000"/>
          <w:sz w:val="22"/>
        </w:rPr>
        <w:t>Committee Reassessment</w:t>
      </w:r>
    </w:p>
    <w:p>
      <w:pPr>
        <w:pStyle w:val="TextBody"/>
        <w:bidi w:val="0"/>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Following recalculation of compensation based on financial performance metrics as noted above, Compensation Committee to reassess any individual metrics and/or discretion imposed on compensation amounts considering the restatement </w:t>
      </w:r>
    </w:p>
    <w:p>
      <w:pPr>
        <w:pStyle w:val="TextBody"/>
        <w:bidi w:val="0"/>
        <w:spacing w:lineRule="auto" w:line="240" w:before="0" w:after="0"/>
        <w:ind w:left="0" w:right="0" w:hanging="360"/>
        <w:jc w:val="left"/>
        <w:rPr/>
      </w:pPr>
      <w:r>
        <w:rPr>
          <w:rFonts w:ascii="Arial;sans-serif" w:hAnsi="Arial;sans-serif"/>
          <w:b w:val="false"/>
          <w:color w:val="000000"/>
          <w:sz w:val="22"/>
        </w:rPr>
        <w:t>7.</w:t>
      </w:r>
      <w:r>
        <w:rPr>
          <w:rFonts w:ascii="Arial;sans-serif" w:hAnsi="Arial;sans-serif"/>
          <w:b/>
          <w:color w:val="000000"/>
          <w:sz w:val="22"/>
        </w:rPr>
        <w:t>Recoupment Method</w:t>
        <w:br/>
        <w:br/>
      </w:r>
      <w:r>
        <w:rPr>
          <w:rFonts w:ascii="Arial;sans-serif" w:hAnsi="Arial;sans-serif"/>
          <w:b w:val="false"/>
          <w:color w:val="000000"/>
          <w:sz w:val="22"/>
        </w:rPr>
        <w:t>Finance to evaluate most cost-effective method of recovery, which shall include direct offset where practicable and consider credit risk. Compensation committee to review and approve the method for compensation recovery following presentation from Company Finance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jc w:val="left"/>
        <w:rPr>
          <w:rFonts w:ascii="Arial;sans-serif" w:hAnsi="Arial;sans-serif"/>
          <w:b/>
          <w:color w:val="000000"/>
          <w:sz w:val="22"/>
        </w:rPr>
      </w:pPr>
      <w:r>
        <w:rPr>
          <w:rFonts w:ascii="Arial;sans-serif" w:hAnsi="Arial;sans-serif"/>
          <w:b/>
          <w:color w:val="000000"/>
          <w:sz w:val="22"/>
        </w:rPr>
        <w:t xml:space="preserve">Effective November 1, 2023 </w:t>
      </w:r>
    </w:p>
    <w:p>
      <w:pPr>
        <w:pStyle w:val="TextBody"/>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hyperlink" Target="https://www.sec.gov/Archives/edgar/data/1647088/000164708824000018/exhibit21-mergeragreement.htm" TargetMode="External"/><Relationship Id="rId26" Type="http://schemas.openxmlformats.org/officeDocument/2006/relationships/hyperlink" Target="https://www.sec.gov/Archives/edgar/data/1647088/000164708824000018/exhibit21-mergeragreement.htm" TargetMode="External"/><Relationship Id="rId27" Type="http://schemas.openxmlformats.org/officeDocument/2006/relationships/hyperlink" Target="https://www.sec.gov/Archives/edgar/data/1647088/000164708823000026/ex31-q12023.htm" TargetMode="External"/><Relationship Id="rId28" Type="http://schemas.openxmlformats.org/officeDocument/2006/relationships/hyperlink" Target="https://www.sec.gov/Archives/edgar/data/1647088/000164708823000026/ex31-q12023.htm" TargetMode="External"/><Relationship Id="rId29" Type="http://schemas.openxmlformats.org/officeDocument/2006/relationships/hyperlink" Target="https://www.sec.gov/Archives/edgar/data/1647088/000164708822000047/willscot-bylaws2022.htm" TargetMode="External"/><Relationship Id="rId30" Type="http://schemas.openxmlformats.org/officeDocument/2006/relationships/hyperlink" Target="https://www.sec.gov/Archives/edgar/data/1647088/000164708822000047/willscot-bylaws2022.htm" TargetMode="External"/><Relationship Id="rId31" Type="http://schemas.openxmlformats.org/officeDocument/2006/relationships/hyperlink" Target="https://www.sec.gov/Archives/edgar/data/1647088/000110465920073761/tm2022650d1_ex4-1.htm" TargetMode="External"/><Relationship Id="rId32" Type="http://schemas.openxmlformats.org/officeDocument/2006/relationships/hyperlink" Target="https://www.sec.gov/Archives/edgar/data/1647088/000110465920073761/tm2022650d1_ex4-1.htm" TargetMode="External"/><Relationship Id="rId33" Type="http://schemas.openxmlformats.org/officeDocument/2006/relationships/hyperlink" Target="https://www.sec.gov/Archives/edgar/data/1647088/000110465920079826/tm2023606d2_ex4-1.htm" TargetMode="External"/><Relationship Id="rId34" Type="http://schemas.openxmlformats.org/officeDocument/2006/relationships/hyperlink" Target="https://www.sec.gov/Archives/edgar/data/1647088/000110465920079826/tm2023606d2_ex4-1.htm" TargetMode="External"/><Relationship Id="rId35" Type="http://schemas.openxmlformats.org/officeDocument/2006/relationships/hyperlink" Target="https://www.sec.gov/Archives/edgar/data/1647088/000110465920098830/tm2029205d2_ex4-1.htm" TargetMode="External"/><Relationship Id="rId36" Type="http://schemas.openxmlformats.org/officeDocument/2006/relationships/hyperlink" Target="https://www.sec.gov/Archives/edgar/data/1647088/000110465920098830/tm2029205d2_ex4-1.htm" TargetMode="External"/><Relationship Id="rId37" Type="http://schemas.openxmlformats.org/officeDocument/2006/relationships/hyperlink" Target="https://www.sec.gov/Archives/edgar/data/1647088/000110465920079822/tm2023606d1_ex1-1.htm" TargetMode="External"/><Relationship Id="rId38" Type="http://schemas.openxmlformats.org/officeDocument/2006/relationships/hyperlink" Target="https://www.sec.gov/Archives/edgar/data/1647088/000110465920079822/tm2023606d1_ex1-1.htm" TargetMode="External"/><Relationship Id="rId39" Type="http://schemas.openxmlformats.org/officeDocument/2006/relationships/hyperlink" Target="https://www.sec.gov/Archives/edgar/data/0001647088/000110465921153643/tm2136110d1_ex4-1.htm" TargetMode="External"/><Relationship Id="rId40" Type="http://schemas.openxmlformats.org/officeDocument/2006/relationships/hyperlink" Target="https://www.sec.gov/Archives/edgar/data/0001647088/000110465921153643/tm2136110d1_ex4-1.htm" TargetMode="External"/><Relationship Id="rId41" Type="http://schemas.openxmlformats.org/officeDocument/2006/relationships/hyperlink" Target="https://www.sec.gov/Archives/edgar/data/0001647088/000110465921153643/tm2136110d1_ex4-2.htm" TargetMode="External"/><Relationship Id="rId42" Type="http://schemas.openxmlformats.org/officeDocument/2006/relationships/hyperlink" Target="https://www.sec.gov/Archives/edgar/data/0001647088/000110465921153643/tm2136110d1_ex4-2.htm" TargetMode="External"/><Relationship Id="rId43" Type="http://schemas.openxmlformats.org/officeDocument/2006/relationships/hyperlink" Target="https://www.sec.gov/Archives/edgar/data/1647088/000114036123045785/ef20011424_ex4-1.htm" TargetMode="External"/><Relationship Id="rId44" Type="http://schemas.openxmlformats.org/officeDocument/2006/relationships/hyperlink" Target="https://www.sec.gov/Archives/edgar/data/1647088/000114036123045785/ef20011424_ex4-1.htm" TargetMode="External"/><Relationship Id="rId45" Type="http://schemas.openxmlformats.org/officeDocument/2006/relationships/hyperlink" Target="https://www.sec.gov/Archives/edgar/data/1647088/000114036123045785/ef20011424_ex4-1.htm" TargetMode="External"/><Relationship Id="rId46" Type="http://schemas.openxmlformats.org/officeDocument/2006/relationships/hyperlink" Target="https://www.sec.gov/Archives/edgar/data/1647088/000114036123045785/ef20011424_ex4-1.htm" TargetMode="External"/><Relationship Id="rId47" Type="http://schemas.openxmlformats.org/officeDocument/2006/relationships/hyperlink" Target="https://www.sec.gov/Archives/edgar/data/1647088/000114036123045785/ef20011424_ex4-1.htm" TargetMode="External"/><Relationship Id="rId48" Type="http://schemas.openxmlformats.org/officeDocument/2006/relationships/hyperlink" Target="https://www.sec.gov/Archives/edgar/data/1647088/000114036123045785/ef20011424_ex4-1.htm" TargetMode="External"/><Relationship Id="rId49" Type="http://schemas.openxmlformats.org/officeDocument/2006/relationships/hyperlink" Target="https://www.sec.gov/Archives/edgar/data/1647088/000114036123045785/ef20011424_ex4-1.htm" TargetMode="External"/><Relationship Id="rId50" Type="http://schemas.openxmlformats.org/officeDocument/2006/relationships/hyperlink" Target="https://www.sec.gov/Archives/edgar/data/1647088/000114036123045785/ef20011424_ex4-1.htm" TargetMode="External"/><Relationship Id="rId51" Type="http://schemas.openxmlformats.org/officeDocument/2006/relationships/hyperlink" Target="https://www.sec.gov/Archives/edgar/data/1647088/000114036123045785/ef20011424_ex4-1.htm" TargetMode="External"/><Relationship Id="rId52" Type="http://schemas.openxmlformats.org/officeDocument/2006/relationships/hyperlink" Target="https://www.sec.gov/Archives/edgar/data/1647088/000114036123045785/ef20011424_ex4-1.htm" TargetMode="External"/><Relationship Id="rId53" Type="http://schemas.openxmlformats.org/officeDocument/2006/relationships/hyperlink" Target="https://www.sec.gov/Archives/edgar/data/1647088/000114036123045785/ef20011424_ex4-1.htm" TargetMode="External"/><Relationship Id="rId54" Type="http://schemas.openxmlformats.org/officeDocument/2006/relationships/hyperlink" Target="https://www.sec.gov/Archives/edgar/data/1647088/000114036123045785/ef20011424_ex4-1.htm" TargetMode="External"/><Relationship Id="rId55" Type="http://schemas.openxmlformats.org/officeDocument/2006/relationships/hyperlink" Target="https://www.sec.gov/Archives/edgar/data/1647088/000114036123045785/ef20011424_ex4-1.htm" TargetMode="External"/><Relationship Id="rId56" Type="http://schemas.openxmlformats.org/officeDocument/2006/relationships/hyperlink" Target="https://www.sec.gov/Archives/edgar/data/1647088/000110465920079822/tm2023606d1_ex10-1.htm" TargetMode="External"/><Relationship Id="rId57" Type="http://schemas.openxmlformats.org/officeDocument/2006/relationships/hyperlink" Target="https://www.sec.gov/Archives/edgar/data/1647088/000110465920079822/tm2023606d1_ex10-1.htm" TargetMode="External"/><Relationship Id="rId58" Type="http://schemas.openxmlformats.org/officeDocument/2006/relationships/hyperlink" Target="https://www.sec.gov/Archives/edgar/data/1647088/000110465920079822/tm2023606d1_ex10-2.htm" TargetMode="External"/><Relationship Id="rId59" Type="http://schemas.openxmlformats.org/officeDocument/2006/relationships/hyperlink" Target="https://www.sec.gov/Archives/edgar/data/1647088/000110465920079822/tm2023606d1_ex10-2.htm" TargetMode="External"/><Relationship Id="rId60" Type="http://schemas.openxmlformats.org/officeDocument/2006/relationships/hyperlink" Target="https://www.sec.gov/Archives/edgar/data/1647088/000110465920079822/tm2023606d1_ex10-3.htm" TargetMode="External"/><Relationship Id="rId61" Type="http://schemas.openxmlformats.org/officeDocument/2006/relationships/hyperlink" Target="https://www.sec.gov/Archives/edgar/data/1647088/000110465920079822/tm2023606d1_ex10-3.htm" TargetMode="External"/><Relationship Id="rId62" Type="http://schemas.openxmlformats.org/officeDocument/2006/relationships/hyperlink" Target="https://www.sec.gov/Archives/edgar/data/1647088/000110465920079822/tm2023606d1_ex10-4.htm" TargetMode="External"/><Relationship Id="rId63" Type="http://schemas.openxmlformats.org/officeDocument/2006/relationships/hyperlink" Target="https://www.sec.gov/Archives/edgar/data/1647088/000110465920079822/tm2023606d1_ex10-4.htm" TargetMode="External"/><Relationship Id="rId64" Type="http://schemas.openxmlformats.org/officeDocument/2006/relationships/hyperlink" Target="https://www.sec.gov/Archives/edgar/data/1647088/000110465921113630/tm2127048d1_ex10-1.htm" TargetMode="External"/><Relationship Id="rId65" Type="http://schemas.openxmlformats.org/officeDocument/2006/relationships/hyperlink" Target="https://www.sec.gov/Archives/edgar/data/1647088/000110465921113630/tm2127048d1_ex10-1.htm" TargetMode="External"/><Relationship Id="rId66" Type="http://schemas.openxmlformats.org/officeDocument/2006/relationships/hyperlink" Target="https://www.sec.gov/Archives/edgar/data/1647088/000110465921113630/tm2127048d1_ex10-2.htm" TargetMode="External"/><Relationship Id="rId67" Type="http://schemas.openxmlformats.org/officeDocument/2006/relationships/hyperlink" Target="https://www.sec.gov/Archives/edgar/data/1647088/000110465921113630/tm2127048d1_ex10-2.htm" TargetMode="External"/><Relationship Id="rId68" Type="http://schemas.openxmlformats.org/officeDocument/2006/relationships/hyperlink" Target="https://www.sec.gov/Archives/edgar/data/1647088/000110465922068620/tm2217823d1_ex10-1.htm" TargetMode="External"/><Relationship Id="rId69" Type="http://schemas.openxmlformats.org/officeDocument/2006/relationships/hyperlink" Target="https://www.sec.gov/Archives/edgar/data/1647088/000110465922068620/tm2217823d1_ex10-1.htm" TargetMode="External"/><Relationship Id="rId70" Type="http://schemas.openxmlformats.org/officeDocument/2006/relationships/hyperlink" Target="https://www.sec.gov/Archives/edgar/data/1647088/000110465922068620/tm2217823d1_ex10-1.htm" TargetMode="External"/><Relationship Id="rId71" Type="http://schemas.openxmlformats.org/officeDocument/2006/relationships/hyperlink" Target="https://www.sec.gov/Archives/edgar/data/1647088/000164708818000006/ex-1017.htm" TargetMode="External"/><Relationship Id="rId72" Type="http://schemas.openxmlformats.org/officeDocument/2006/relationships/hyperlink" Target="https://www.sec.gov/Archives/edgar/data/1647088/000164708818000006/ex-1017.htm" TargetMode="External"/><Relationship Id="rId73" Type="http://schemas.openxmlformats.org/officeDocument/2006/relationships/hyperlink" Target="https://www.sec.gov/Archives/edgar/data/1647088/000164708818000006/ex-1017.htm" TargetMode="External"/><Relationship Id="rId74" Type="http://schemas.openxmlformats.org/officeDocument/2006/relationships/hyperlink" Target="https://www.sec.gov/Archives/edgar/data/1647088/000110465919016594/a19-6989_1ex10d1.htm" TargetMode="External"/><Relationship Id="rId75" Type="http://schemas.openxmlformats.org/officeDocument/2006/relationships/hyperlink" Target="https://www.sec.gov/Archives/edgar/data/1647088/000110465919016594/a19-6989_1ex10d1.htm" TargetMode="External"/><Relationship Id="rId76" Type="http://schemas.openxmlformats.org/officeDocument/2006/relationships/hyperlink" Target="https://www.sec.gov/Archives/edgar/data/1647088/000110465919016594/a19-6989_1ex10d1.htm" TargetMode="External"/><Relationship Id="rId77" Type="http://schemas.openxmlformats.org/officeDocument/2006/relationships/hyperlink" Target="https://www.sec.gov/Archives/edgar/data/0001647088/000110465921113630/tm2127048d1_ex10-3.htm" TargetMode="External"/><Relationship Id="rId78" Type="http://schemas.openxmlformats.org/officeDocument/2006/relationships/hyperlink" Target="https://www.sec.gov/Archives/edgar/data/0001647088/000110465921113630/tm2127048d1_ex10-3.htm" TargetMode="External"/><Relationship Id="rId79" Type="http://schemas.openxmlformats.org/officeDocument/2006/relationships/hyperlink" Target="https://www.sec.gov/Archives/edgar/data/0001647088/000110465921113630/tm2127048d1_ex10-3.htm" TargetMode="External"/><Relationship Id="rId80" Type="http://schemas.openxmlformats.org/officeDocument/2006/relationships/hyperlink" Target="https://www.sec.gov/Archives/edgar/data/1647088/000164708822000009/ex1016-10k2021.htm" TargetMode="External"/><Relationship Id="rId81" Type="http://schemas.openxmlformats.org/officeDocument/2006/relationships/hyperlink" Target="https://www.sec.gov/Archives/edgar/data/1647088/000164708822000009/ex1016-10k2021.htm" TargetMode="External"/><Relationship Id="rId82" Type="http://schemas.openxmlformats.org/officeDocument/2006/relationships/hyperlink" Target="https://www.sec.gov/Archives/edgar/data/1647088/000164708822000009/ex1016-10k2021.htm" TargetMode="External"/><Relationship Id="rId83" Type="http://schemas.openxmlformats.org/officeDocument/2006/relationships/hyperlink" Target="https://www.sec.gov/Archives/edgar/data/1647088/000110465921149175/tm2135299d1_ex10-1.htm" TargetMode="External"/><Relationship Id="rId84" Type="http://schemas.openxmlformats.org/officeDocument/2006/relationships/hyperlink" Target="https://www.sec.gov/Archives/edgar/data/1647088/000110465921149175/tm2135299d1_ex10-1.htm" TargetMode="External"/><Relationship Id="rId85" Type="http://schemas.openxmlformats.org/officeDocument/2006/relationships/hyperlink" Target="https://www.sec.gov/Archives/edgar/data/1647088/000110465921149175/tm2135299d1_ex10-1.htm" TargetMode="External"/><Relationship Id="rId86" Type="http://schemas.openxmlformats.org/officeDocument/2006/relationships/hyperlink" Target="https://www.sec.gov/Archives/edgar/data/0001647088/000110465921150557/tm2135657d1_ex10-1.htm" TargetMode="External"/><Relationship Id="rId87" Type="http://schemas.openxmlformats.org/officeDocument/2006/relationships/hyperlink" Target="https://www.sec.gov/Archives/edgar/data/0001647088/000110465921150557/tm2135657d1_ex10-1.htm" TargetMode="External"/><Relationship Id="rId88" Type="http://schemas.openxmlformats.org/officeDocument/2006/relationships/hyperlink" Target="https://www.sec.gov/Archives/edgar/data/0001647088/000110465921150557/tm2135657d1_ex10-1.htm" TargetMode="External"/><Relationship Id="rId89" Type="http://schemas.openxmlformats.org/officeDocument/2006/relationships/hyperlink" Target="https://www.sec.gov/Archives/edgar/data/1647088/000110465922076460/tm2220115d1_ex10-1.htm" TargetMode="External"/><Relationship Id="rId90" Type="http://schemas.openxmlformats.org/officeDocument/2006/relationships/hyperlink" Target="https://www.sec.gov/Archives/edgar/data/1647088/000110465922076460/tm2220115d1_ex10-1.htm" TargetMode="External"/><Relationship Id="rId91" Type="http://schemas.openxmlformats.org/officeDocument/2006/relationships/hyperlink" Target="https://www.sec.gov/Archives/edgar/data/1647088/000110465922076460/tm2220115d1_ex10-1.htm" TargetMode="External"/><Relationship Id="rId92" Type="http://schemas.openxmlformats.org/officeDocument/2006/relationships/hyperlink" Target="https://www.sec.gov/Archives/edgar/data/1647088/000164708823000014/ex1018-10k2022.htm" TargetMode="External"/><Relationship Id="rId93" Type="http://schemas.openxmlformats.org/officeDocument/2006/relationships/hyperlink" Target="https://www.sec.gov/Archives/edgar/data/1647088/000164708823000014/ex1018-10k2022.htm" TargetMode="External"/><Relationship Id="rId94" Type="http://schemas.openxmlformats.org/officeDocument/2006/relationships/hyperlink" Target="https://www.sec.gov/Archives/edgar/data/1647088/000164708823000014/ex1018-10k2022.htm" TargetMode="External"/><Relationship Id="rId95" Type="http://schemas.openxmlformats.org/officeDocument/2006/relationships/hyperlink" Target="https://www.sec.gov/Archives/edgar/data/1647088/000164708823000014/ex1018-10k2022.htm" TargetMode="External"/><Relationship Id="rId96" Type="http://schemas.openxmlformats.org/officeDocument/2006/relationships/hyperlink" Target="https://www.sec.gov/Archives/edgar/data/1647088/000164708823000014/ex1018-10k2022.htm" TargetMode="External"/><Relationship Id="rId97" Type="http://schemas.openxmlformats.org/officeDocument/2006/relationships/hyperlink" Target="https://www.sec.gov/Archives/edgar/data/1647088/000164708823000071/ex101-employmentagreementx.htm" TargetMode="External"/><Relationship Id="rId98" Type="http://schemas.openxmlformats.org/officeDocument/2006/relationships/hyperlink" Target="https://www.sec.gov/Archives/edgar/data/1647088/000164708823000071/ex101-employmentagreementx.htm" TargetMode="External"/><Relationship Id="rId99" Type="http://schemas.openxmlformats.org/officeDocument/2006/relationships/hyperlink" Target="https://www.sec.gov/Archives/edgar/data/1647088/000164708823000071/ex101-employmentagreementx.htm" TargetMode="External"/><Relationship Id="rId100" Type="http://schemas.openxmlformats.org/officeDocument/2006/relationships/hyperlink" Target="http://www.sec.gov/Archives/edgar/data/1647088/000164708819000056/codeofethicsforthechie.htm" TargetMode="External"/><Relationship Id="rId101" Type="http://schemas.openxmlformats.org/officeDocument/2006/relationships/hyperlink" Target="http://www.sec.gov/Archives/edgar/data/1647088/000164708819000056/codeofethicsforthechie.htm" TargetMode="External"/><Relationship Id="rId102" Type="http://schemas.openxmlformats.org/officeDocument/2006/relationships/fontTable" Target="fontTable.xml"/><Relationship Id="rId10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100845</Words>
  <Characters>562898</Characters>
  <CharactersWithSpaces>658876</CharactersWithSpaces>
  <Paragraphs>8243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