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Date of Report (Date of earliest event reported): </w:t>
      </w:r>
      <w:r>
        <w:rPr>
          <w:rFonts w:ascii="Arial" w:cs="Arial" w:eastAsia="Arial" w:hAnsi="Arial"/>
          <w:sz w:val="16"/>
          <w:szCs w:val="16"/>
          <w:color w:val="auto"/>
        </w:rPr>
        <w:t>April 29, 2021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68525"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WILLSCOT MOBILE MINI HOLDINGS CORP.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138" w:lineRule="exact"/>
        <w:rPr>
          <w:sz w:val="24"/>
          <w:szCs w:val="24"/>
          <w:color w:val="auto"/>
        </w:rPr>
      </w:pPr>
    </w:p>
    <w:p>
      <w:pPr>
        <w:jc w:val="center"/>
        <w:ind w:lef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001-37552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82-3430194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(I.R.S. Employer Identification No.)</w:t>
      </w:r>
    </w:p>
    <w:p>
      <w:pPr>
        <w:spacing w:after="0" w:line="162" w:lineRule="exact"/>
        <w:rPr>
          <w:sz w:val="24"/>
          <w:szCs w:val="24"/>
          <w:color w:val="auto"/>
        </w:rPr>
      </w:pPr>
    </w:p>
    <w:p>
      <w:pPr>
        <w:sectPr>
          <w:pgSz w:w="11900" w:h="16838" w:orient="portrait"/>
          <w:cols w:equalWidth="0" w:num="3">
            <w:col w:w="3920" w:space="720"/>
            <w:col w:w="2560" w:space="720"/>
            <w:col w:w="3320"/>
          </w:cols>
          <w:pgMar w:left="320" w:top="661"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4646 E Van Buren St., Suite 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85008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(480) 894-6311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 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78"/>
        </w:trPr>
        <w:tc>
          <w:tcPr>
            <w:tcW w:w="4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WSC</w:t>
            </w:r>
          </w:p>
        </w:tc>
        <w:tc>
          <w:tcPr>
            <w:tcW w:w="2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43"/>
        </w:trPr>
        <w:tc>
          <w:tcPr>
            <w:tcW w:w="4860" w:type="dxa"/>
            <w:vAlign w:val="bottom"/>
            <w:gridSpan w:val="2"/>
          </w:tcPr>
          <w:p>
            <w:pPr>
              <w:ind w:left="800"/>
              <w:spacing w:after="0"/>
              <w:rPr>
                <w:sz w:val="20"/>
                <w:szCs w:val="20"/>
                <w:color w:val="auto"/>
              </w:rPr>
            </w:pPr>
            <w:r>
              <w:rPr>
                <w:rFonts w:ascii="Arial" w:cs="Arial" w:eastAsia="Arial" w:hAnsi="Arial"/>
                <w:sz w:val="18"/>
                <w:szCs w:val="18"/>
                <w:color w:val="auto"/>
              </w:rPr>
              <w:t>Warrants to purchase common stock(1)</w:t>
            </w:r>
          </w:p>
        </w:tc>
        <w:tc>
          <w:tcPr>
            <w:tcW w:w="29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WSCWW</w:t>
            </w: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OTC Markets Group Inc.</w:t>
            </w:r>
          </w:p>
        </w:tc>
      </w:tr>
      <w:tr>
        <w:trPr>
          <w:trHeight w:val="230"/>
        </w:trPr>
        <w:tc>
          <w:tcPr>
            <w:tcW w:w="4860" w:type="dxa"/>
            <w:vAlign w:val="bottom"/>
            <w:gridSpan w:val="2"/>
          </w:tcPr>
          <w:p>
            <w:pPr>
              <w:ind w:left="800"/>
              <w:spacing w:after="0"/>
              <w:rPr>
                <w:sz w:val="20"/>
                <w:szCs w:val="20"/>
                <w:color w:val="auto"/>
              </w:rPr>
            </w:pPr>
            <w:r>
              <w:rPr>
                <w:rFonts w:ascii="Arial" w:cs="Arial" w:eastAsia="Arial" w:hAnsi="Arial"/>
                <w:sz w:val="18"/>
                <w:szCs w:val="18"/>
                <w:color w:val="auto"/>
              </w:rPr>
              <w:t>Warrants to purchase common stock(2)</w:t>
            </w:r>
          </w:p>
        </w:tc>
        <w:tc>
          <w:tcPr>
            <w:tcW w:w="29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WSCTW</w:t>
            </w: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OTC Markets Group Inc.</w:t>
            </w:r>
          </w:p>
        </w:tc>
      </w:tr>
    </w:tbl>
    <w:p>
      <w:pPr>
        <w:spacing w:after="0" w:line="134" w:lineRule="exact"/>
        <w:rPr>
          <w:sz w:val="24"/>
          <w:szCs w:val="24"/>
          <w:color w:val="auto"/>
        </w:rPr>
      </w:pPr>
    </w:p>
    <w:p>
      <w:pPr>
        <w:ind w:right="100" w:firstLine="8"/>
        <w:spacing w:after="0" w:line="258"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Issued in connection with the initial public offering of Double Eagle Acquisition Corp., the registrant’s legal predecessor company, in September 2015, which are exercisable for one-half of one share of the registrant’s common stock for an exercise price of $5.75.</w:t>
      </w:r>
    </w:p>
    <w:p>
      <w:pPr>
        <w:spacing w:after="0" w:line="1" w:lineRule="exact"/>
        <w:rPr>
          <w:rFonts w:ascii="Arial" w:cs="Arial" w:eastAsia="Arial" w:hAnsi="Arial"/>
          <w:sz w:val="18"/>
          <w:szCs w:val="18"/>
          <w:color w:val="auto"/>
        </w:rPr>
      </w:pPr>
    </w:p>
    <w:p>
      <w:pPr>
        <w:ind w:right="540" w:firstLine="8"/>
        <w:spacing w:after="0" w:line="26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Issued in connection with the registrant’s acquisition of Modular Space Holdings, Inc. in August 2018, which are exercisable for one share of the registrant’s common stock at an exercise price of $15.50 per share.</w:t>
      </w:r>
    </w:p>
    <w:p>
      <w:pPr>
        <w:spacing w:after="0" w:line="18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April 29, 2021, WillScot Mobile Mini Holdings Corp. (the “Company”) issued a press release announcing financial results for the first quarter ended March 31, 2021 and discussing the matters described under Item 4.02(a) hereof, a copy of which is attached as Exhibit 99.1.</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 this Item 2.02 and Exhibit 99.1 attached hereto shall not be deemed “filed” for purposes of Section 18 of the Securities Exchange Act of 1934, as amended, or otherwise subject to the liabilities of that Section, nor shall it be deemed incorporated by reference into any filing under the Securities Act of 1933, as amended, unless specifically identified therein as being incorporated therein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4.02(a) Non-Reliance on Previously Issued Financial Statements or a Related Audit Report or Completed Interim Review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27, 2021, the Audit Committee of the Board of Directors (the “Audit Committee”) of the Company, after considering the recommendation of the Company’s management and after discussions with Ernst &amp; Young LLP, the Company’s independent registered public accounting firm, the Company's legal advisors and the Company's valuation firm, concluded that the Company’s consolidated financial statements and other financial information for the years ended December 31, 2020, 2019 and 2018 and for each of the interim quarterly periods therein (the “Non-Reliance Period”) should no longer be relied upon and that the Company’s Annual Report on Form 10-K for the year ended December 31, 2020 will be amended to restate the consolidated financial statements contained therein due to changes in accounting for certain previously issued warrants to conform with the SEC Staff Statement described below.</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After consideration of the views expressed in the Securities and Exchange Commission (the “SEC”) Staff Statement on Accounting and Reporting Considerations for Warrants Issued by Special Purpose Acquisition Companies (“SPACs”) dated April 12, 2021 (the “SEC Staff Statement”) in which the SEC clarified its interpretation of certain generally accepted accounting principles related to certain contractual terms that are commonly included in warrants issued in connection with the initial public offerings of SPACs, the Company’s management became aware that the Company’s accounting for warrants in its consolidated financial statements for the Non-Reliance Period was inconsistent with the SEC Staff Statement. The SEC Staff Statement addressed certain accounting and reporting considerations related to warrants of a kind similar to those issued by the Company.</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2015, Double Eagle Acquisition Corp. (“DEAC”), a SPAC and the Company’s predecessor, issued warrants to purchase 9,750,000 shares of its common stock in a private placement concurrently with its initial public offering (the “Private Warrants”). Each Private Warrant entitles the holder to purchase one half of one share of the Company’s common stock at a price of $5.75 per half share, subject to adjustment. If held by the original purchasers of the Private Warrants (or their permitted transferees), the Private Warrants may be exercised on a cashless basis and are not subject to redemption. Based on Accounting Standards Codification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warrant instruments that do not meet the criteria to be considered indexed to an entity’s own stock shall be classified as liabilities at their estimated fair values. In periods subsequent to issuance, changes in the estimated fair values of the derivative instruments should be reported in the statement of operations. The Company had previously classified these warrants as equity consistent with common market practice which existed prior to the SEC Staff Statement.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2015, DEAC also issued warrants to purchase 25,000,000 shares of its common stock as components of units sold in its initial public offering (the "Public Warrants"). Each Public Warrant entitles the holder to purchase one half of one share of the Company's common stock at a price of $5.75 per half share, subject to adjustment. In 2018, the Company issued warrants to purchase 9,999,579 shares of its common stock to the former shareholders of ModSpace as part of that acquisition (the "2018 Warrants"). Each 2018 Warrant entitles the holder to purchase one share of the Company's common stock at a price of $15.50 per share, subject to potential adjustment. The Public Warrants and 2018 Warrants include a cash settlement feature that could arise in a certain event that is outside the control of the Company. The Company had previously classified these warrants as equity, consistent with common market practice, which existed prior to the SEC Staff Statement.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a result of the above, the Company will restate its consolidated financial statements for the Non-Reliance Period to reflect the Private Warrants, Public Warrants and 2018 Warrants as liabilities with the associated gains or losses recognized as a result of the changes in fair values and extinguishment to correct this error. The Public Warrants were exercised, exchanged, redeemed, or extinguished by the end of the first quarter of 2020. The 2018 Warrants were reclassified to equity at June 30, 2020, the date all issued and outstanding shares of the Company's Class B common stock were cancelled. The Private Warrants will be considered warrant liabilities and subject to the accounting discussed above for all periods presented.</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terms of the warrants or the Company’s operational performance indicators, GAAP metrics above Operating Income, non-GAAP metrics, or the Company’s capital structure as a result of this restatement.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working diligently with its auditors and an independent valuation firm to finalize the valuation of the Private Warrants, Public Warrants and 2018 Warrants and intends to file an amendment to its Annual Report on Form 10-K for the year ended December 31, 2020, originally filed with the SEC on February 26, 2021, to conform to the interpretations in the SEC Staff Statement as soon as reasonably practicable. The relevant unaudited interim financial information for each of the quarters ended during the years ended December 31, 2020 and 2019 will also be restated in the Form 10-K/A. Accordingly, investors and others should not rely on the Company’s previously released financial statements and other financial information and disclosures for the Non-Reliance Period. Similarly, any previously furnished or filed reports, press releases, earnings releases, investor presentations or other communications describing the Company’s consolidated financial statements and other related financial information for the Non-Reliance Period should not be relied upon.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assessing the implications of these issues on the Company's disclosure controls and procedures and internal control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Item 4.02(a) with the Company’s independent registered public accounting firm, Ernst &amp; Young LLP.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Current Report on Form 8-K contains forward-looking statements within the meaning of the U.S. Private Securities Litigation Reform Act of 1995 and Section 21E of the Securities Exchange Act of 1934, as amended. The words “estimates,” “expects,” “anticipates,” “believes,” “forecasts,” “plans,” “intends,” “may,” “will,” “should,” “shall,” “outlook,” and variations of these words and similar expressions identify forward-looking statements, which are generally not historical in nature. Certain of these forward-looking statements include statements relating the potential effects of the restatement on the</w:t>
      </w:r>
    </w:p>
    <w:p>
      <w:pPr>
        <w:sectPr>
          <w:pgSz w:w="11900" w:h="16936" w:orient="portrait"/>
          <w:cols w:equalWidth="0" w:num="1">
            <w:col w:w="11240"/>
          </w:cols>
          <w:pgMar w:left="320" w:top="904" w:right="339" w:bottom="0" w:gutter="0" w:footer="0" w:header="0"/>
        </w:sectPr>
      </w:pPr>
    </w:p>
    <w:bookmarkStart w:id="2" w:name="page3"/>
    <w:bookmarkEnd w:id="2"/>
    <w:p>
      <w:pPr>
        <w:jc w:val="both"/>
        <w:spacing w:after="0" w:line="275" w:lineRule="auto"/>
        <w:rPr>
          <w:sz w:val="20"/>
          <w:szCs w:val="20"/>
          <w:color w:val="auto"/>
        </w:rPr>
      </w:pPr>
      <w:r>
        <w:rPr>
          <w:rFonts w:ascii="Arial" w:cs="Arial" w:eastAsia="Arial" w:hAnsi="Arial"/>
          <w:sz w:val="17"/>
          <w:szCs w:val="17"/>
          <w:color w:val="auto"/>
        </w:rPr>
        <w:t>Company's financial statements. These statements are only a prediction and actual events or results may differ materially from those in the forward-looking statements set forth herein. Readers are referred to the Company's filings with the Securities and Exchange Commission, including its most recent Annual Report on Form 10-K and any subsequent Quarterly Reports on Form 10-Q for a discussion of these and other important risk factors concerning the Company. Any forward-looking statement speaks only at the date which it is made, and the Company disclaims any obligation to update or revise any forward-looking statements, whether as a result of new information, future events or otherwise,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3"/>
          </w:tcPr>
          <w:p>
            <w:pPr>
              <w:spacing w:after="0"/>
              <w:rPr>
                <w:sz w:val="20"/>
                <w:szCs w:val="20"/>
                <w:color w:val="auto"/>
              </w:rPr>
            </w:pPr>
            <w:r>
              <w:rPr>
                <w:rFonts w:ascii="Arial" w:cs="Arial" w:eastAsia="Arial" w:hAnsi="Arial"/>
                <w:sz w:val="18"/>
                <w:szCs w:val="18"/>
                <w:i w:val="1"/>
                <w:iCs w:val="1"/>
                <w:color w:val="auto"/>
              </w:rPr>
              <w:t>(d) Exhibits</w:t>
            </w:r>
          </w:p>
        </w:tc>
        <w:tc>
          <w:tcPr>
            <w:tcW w:w="4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94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3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Description</w:t>
            </w:r>
          </w:p>
        </w:tc>
      </w:tr>
      <w:tr>
        <w:trPr>
          <w:trHeight w:val="392"/>
        </w:trPr>
        <w:tc>
          <w:tcPr>
            <w:tcW w:w="1940" w:type="dxa"/>
            <w:vAlign w:val="bottom"/>
            <w:gridSpan w:val="3"/>
          </w:tcPr>
          <w:p>
            <w:pPr>
              <w:ind w:left="1040"/>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300" w:type="dxa"/>
            <w:vAlign w:val="bottom"/>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Press Release, dated April 29, 2021, announcing the Company’s financial results for the first quarter ended March 31, 2021 and</w:t>
              </w:r>
            </w:hyperlink>
          </w:p>
        </w:tc>
      </w:tr>
      <w:tr>
        <w:trPr>
          <w:trHeight w:val="196"/>
        </w:trPr>
        <w:tc>
          <w:tcPr>
            <w:tcW w:w="10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9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discussing the restatement of previously issued financial statements.</w:t>
              </w:r>
            </w:hyperlink>
          </w:p>
        </w:tc>
        <w:tc>
          <w:tcPr>
            <w:tcW w:w="1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00" w:type="dxa"/>
            <w:vAlign w:val="bottom"/>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37"/>
        </w:trPr>
        <w:tc>
          <w:tcPr>
            <w:tcW w:w="1340" w:type="dxa"/>
            <w:vAlign w:val="bottom"/>
            <w:gridSpan w:val="2"/>
          </w:tcPr>
          <w:p>
            <w:pPr>
              <w:ind w:left="1040"/>
              <w:spacing w:after="0"/>
              <w:rPr>
                <w:sz w:val="20"/>
                <w:szCs w:val="20"/>
                <w:color w:val="auto"/>
              </w:rPr>
            </w:pPr>
            <w:r>
              <w:rPr>
                <w:rFonts w:ascii="Arial" w:cs="Arial" w:eastAsia="Arial" w:hAnsi="Arial"/>
                <w:sz w:val="18"/>
                <w:szCs w:val="18"/>
                <w:color w:val="auto"/>
                <w:w w:val="93"/>
              </w:rPr>
              <w:t>104</w:t>
            </w:r>
          </w:p>
        </w:tc>
        <w:tc>
          <w:tcPr>
            <w:tcW w:w="600" w:type="dxa"/>
            <w:vAlign w:val="bottom"/>
          </w:tcPr>
          <w:p>
            <w:pPr>
              <w:spacing w:after="0"/>
              <w:rPr>
                <w:sz w:val="20"/>
                <w:szCs w:val="20"/>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WillScot Mobile Mini Holdings Corp.</w:t>
      </w:r>
    </w:p>
    <w:p>
      <w:pPr>
        <w:spacing w:after="0" w:line="229"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6"/>
          <w:szCs w:val="16"/>
          <w:color w:val="auto"/>
        </w:rPr>
        <w:t>By:/s/ Christopher J. 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341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Christopher J. Miner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2" w:lineRule="exact"/>
        <w:rPr>
          <w:sz w:val="20"/>
          <w:szCs w:val="20"/>
          <w:color w:val="auto"/>
        </w:rPr>
      </w:pPr>
    </w:p>
    <w:p>
      <w:pPr>
        <w:jc w:val="center"/>
        <w:ind w:left="340" w:right="540"/>
        <w:spacing w:after="0" w:line="282" w:lineRule="auto"/>
        <w:rPr>
          <w:sz w:val="20"/>
          <w:szCs w:val="20"/>
          <w:color w:val="auto"/>
        </w:rPr>
      </w:pPr>
      <w:r>
        <w:rPr>
          <w:rFonts w:ascii="Arial" w:cs="Arial" w:eastAsia="Arial" w:hAnsi="Arial"/>
          <w:sz w:val="25"/>
          <w:szCs w:val="25"/>
          <w:b w:val="1"/>
          <w:bCs w:val="1"/>
          <w:color w:val="auto"/>
        </w:rPr>
        <w:t>WILLSCOT MOBILE MINI HOLDINGS ANNOUNCES FIRST QUARTER RESULTS AND UPDATES 2021 OUTLOOK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Q1 Performance, Strong Commercial Trends, And Integration Execution Support Increase To 2021 Outlook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PHOENIX (April 29, 2021) </w:t>
      </w:r>
      <w:r>
        <w:rPr>
          <w:rFonts w:ascii="Arial" w:cs="Arial" w:eastAsia="Arial" w:hAnsi="Arial"/>
          <w:sz w:val="17"/>
          <w:szCs w:val="17"/>
          <w:color w:val="auto"/>
        </w:rPr>
        <w:t>- WillScot Mobile Mini Holdings Corp. (“WillScot Mobile Mini Holdings” or the “Company”) (Nasdaq: WSC), the North</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leader in innovative flexible work space and portable storage solutions, today announced preliminary first quarter 2021 results and provided an update on its 2021 outlook. Given our momentum exiting the first quarter, coupled with strong commercial trends in our business and continued integration execution, we are raising our full year 2021 revenue and Adjusted EBITDA guidance. While our first quarter results are preliminary due to an SEC Statement published on April 12, 2021 (the “SEC Statement”), indicating that many warrant structures common in SPACs should be accounted for as liabilities rather than as equity and then marked to market in each reporting period, this change will not impact our Revenue, Adjusted EBITDA, or Free Cash Flow. As discussed in more detail in a Current Report Form 8-K filed with the SEC, we will conform to this change when we amend our Annual Report on Form 10-K for the year ended December 31, 2020 and file our Quarterly Report on the Form 10-Q for the quarter ended March 31, 2021. There have been no changes to the terms of the warrants, our operational performance indicators, our GAAP metrics above Operating Income, our non-GAAP metrics, or our capital structure as a result of this change in presentation.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2020, Williams Scotsman, Inc. closed the merger with Mobile Mini, Inc. (the "Merger") and changed its name to WillScot Mobile Mini Holdings Corp. (Nasdaq: WSC). Our reported results only include Mobile Mini for the periods subsequent to the Merger. Our pro forma results include Mobile Mini's results as if the Merger and related financing transactions had occurred on January 1, 2019, which we believe is a better representation of how the combined company has performed over time. Following the Merger, we expanded our reporting segments from two reporting segments to four reporting segments. The North America Modular segment aligns with the WillScot legacy business prior to the Merger and the North America Storage, UK Storage and Tank and Pump segments align with the Mobile Mini segments prior to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WillScot Mobile Mini Holdings’ Financial Highlights</w:t>
      </w:r>
      <w:r>
        <w:rPr>
          <w:rFonts w:ascii="Arial" w:cs="Arial" w:eastAsia="Arial" w:hAnsi="Arial"/>
          <w:sz w:val="29"/>
          <w:szCs w:val="29"/>
          <w:b w:val="1"/>
          <w:bCs w:val="1"/>
          <w:color w:val="auto"/>
          <w:vertAlign w:val="superscript"/>
        </w:rPr>
        <w:t>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First Quarter Results</w:t>
      </w:r>
    </w:p>
    <w:p>
      <w:pPr>
        <w:spacing w:after="0" w:line="229" w:lineRule="exact"/>
        <w:rPr>
          <w:sz w:val="20"/>
          <w:szCs w:val="20"/>
          <w:color w:val="auto"/>
        </w:rPr>
      </w:pPr>
    </w:p>
    <w:p>
      <w:pPr>
        <w:ind w:left="660" w:hanging="328"/>
        <w:spacing w:after="0" w:line="342"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of $425.3 million increased by $169.5 million relative to prior year, or 66.3%, driven by the addition of Mobile Mini's revenues to our consolidated results, upon closing of the Merger on July 1, 2020, as well as due to increased leasing revenues in the NA Modular segment.</w:t>
      </w:r>
    </w:p>
    <w:p>
      <w:pPr>
        <w:spacing w:after="0" w:line="123" w:lineRule="exact"/>
        <w:rPr>
          <w:rFonts w:ascii="Arial" w:cs="Arial" w:eastAsia="Arial" w:hAnsi="Arial"/>
          <w:sz w:val="16"/>
          <w:szCs w:val="16"/>
          <w:b w:val="1"/>
          <w:bCs w:val="1"/>
          <w:i w:val="1"/>
          <w:iCs w:val="1"/>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Modular space monthly rental rates in the NA Modular segment increased by 12.9% year over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 Storage monthly rental rates increased by 5.0% year over year.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$163.6 million increased by $74.1 million, or 82.8% year over year, driven both by the addition of Mobile Mini to our results and 8.8% year over year organic growth in the NA Modular segment.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of 38.5% increased by 350 basis points ("bps") relative to prior year, driven by 160 bps of margin expansion in the NA Modular segment, and the addition of Mobile Mini's higher margin portable storage business.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range of ($3.3 million) to $11.7 million pending the finalization of the mark-to-market adjustment of our 2015 private warrants. Adjusted Net Income, which excludes the change in fair value of the warrant liability, was $31.7 million, up $35.4 million year over year.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Generated $91.2 million of Free Cash Flow, an increase of $83.4 million versus prior year, representing a free cash flow margin of 21.4%.</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leverage to 3.7x our pro forma last-twelve-months Adjusted EBITDA of $660.6 million while repurchasing $81.6 million of common stock and warrants.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Redeemed $65.0 million of our 6.125% senior notes due 2025.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share repurchase authority to $500 million from $250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both"/>
        <w:spacing w:after="0" w:line="308" w:lineRule="auto"/>
        <w:rPr>
          <w:sz w:val="20"/>
          <w:szCs w:val="20"/>
          <w:color w:val="auto"/>
        </w:rPr>
      </w:pPr>
      <w:r>
        <w:rPr>
          <w:rFonts w:ascii="Arial" w:cs="Arial" w:eastAsia="Arial" w:hAnsi="Arial"/>
          <w:sz w:val="17"/>
          <w:szCs w:val="17"/>
          <w:color w:val="auto"/>
        </w:rPr>
        <w:t>Additional Supplemental Pro Forma Financial Information will be filed in our Quarterly Report on Form 10-Q to be filed with the SEC and made available on the WillScot Mobile Mini Holdings Corp. investor relations website for full reconciliations of our reported and pro forma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Consolidated net income (loss) range (preliminary as restated)</w:t>
            </w:r>
          </w:p>
        </w:tc>
        <w:tc>
          <w:tcPr>
            <w:tcW w:w="18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(3,346) - 11,654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76,456 - 106,456</w:t>
            </w:r>
          </w:p>
        </w:tc>
        <w:tc>
          <w:tcPr>
            <w:tcW w:w="0" w:type="dxa"/>
            <w:vAlign w:val="bottom"/>
          </w:tcPr>
          <w:p>
            <w:pPr>
              <w:spacing w:after="0"/>
              <w:rPr>
                <w:sz w:val="1"/>
                <w:szCs w:val="1"/>
                <w:color w:val="auto"/>
              </w:rPr>
            </w:pPr>
          </w:p>
        </w:tc>
      </w:tr>
      <w:tr>
        <w:trPr>
          <w:trHeight w:val="256"/>
        </w:trPr>
        <w:tc>
          <w:tcPr>
            <w:tcW w:w="6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18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89,544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122,071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56"/>
        </w:trPr>
        <w:tc>
          <w:tcPr>
            <w:tcW w:w="6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Free Cash Flow</w:t>
            </w:r>
            <w:r>
              <w:rPr>
                <w:rFonts w:ascii="Arial" w:cs="Arial" w:eastAsia="Arial" w:hAnsi="Arial"/>
                <w:sz w:val="29"/>
                <w:szCs w:val="29"/>
                <w:color w:val="auto"/>
                <w:vertAlign w:val="superscript"/>
              </w:rPr>
              <w:t>1</w:t>
            </w:r>
          </w:p>
        </w:tc>
        <w:tc>
          <w:tcPr>
            <w:tcW w:w="18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 Forma Adjusted EBITDA</w:t>
            </w:r>
            <w:r>
              <w:rPr>
                <w:rFonts w:ascii="Arial" w:cs="Arial" w:eastAsia="Arial" w:hAnsi="Arial"/>
                <w:sz w:val="29"/>
                <w:szCs w:val="29"/>
                <w:b w:val="1"/>
                <w:bCs w:val="1"/>
                <w:i w:val="1"/>
                <w:iCs w:val="1"/>
                <w:color w:val="auto"/>
                <w:vertAlign w:val="superscript"/>
              </w:rPr>
              <w:t>1</w:t>
            </w:r>
            <w:r>
              <w:rPr>
                <w:rFonts w:ascii="Arial" w:cs="Arial" w:eastAsia="Arial" w:hAnsi="Arial"/>
                <w:sz w:val="18"/>
                <w:szCs w:val="18"/>
                <w:b w:val="1"/>
                <w:bCs w:val="1"/>
                <w:i w:val="1"/>
                <w:iCs w:val="1"/>
                <w:color w:val="auto"/>
              </w:rPr>
              <w:t xml:space="preserve"> by Segment (in thousands)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NA Modular</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NA Storage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46,322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43,994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UK Storage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11,064</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Tank and Pump</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8,828</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r>
        <w:rPr>
          <w:rFonts w:ascii="Arial" w:cs="Arial" w:eastAsia="Arial" w:hAnsi="Arial"/>
          <w:sz w:val="29"/>
          <w:szCs w:val="29"/>
          <w:b w:val="1"/>
          <w:bCs w:val="1"/>
          <w:color w:val="auto"/>
          <w:vertAlign w:val="superscript"/>
        </w:rPr>
        <w:t>1</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Brad Soultz, Chief Executive Officer of WillScot Mobile Mini Holdings, commented "our first quarter results surpassed my expectations, with solid performance across our segments. Leasing revenue and Adjusted EBITDA increased year over year on a pro forma basis, driven by strength across all of our key leasing metrics and end markets. Our NA Modular segment saw average monthly rental rate growth of 12.9% year over year, the 14th consecutive quarter of double-digit rate growth. VAPS penetration continued to progress, producing an average monthly rate per unit delivered over the last twelve months of $337, a 22.1% year over year increase and an 8.4% sequential increase. Our pricing strategy drove improvement in our other segments as well, with increases of 5.0% and 25.5% year over year in average monthly rental rate for NA Storage and UK Storage, respectively. And we saw modest unit on rent growth sequentially from December to March, which is consistent with a normal seasonal acceleration heading into Q2. In our NA Storage segment, portable storage units on rent were stable year over year, modular space units on rent increased 6.0% year over year. Our UK Storage segment saw acceleration across all operational and commercial metrics, highlighted by 25.5% rate growth. And our Tank &amp; Pump division continued its sequential improvement with tightening OEC utilization and improving end markets. I’d like to thank our team for their significant progress towards key milestones that will unlock the full potential of the merger with Mobile Mini, driving shareholder value for years to come. Due to our strong performance in the first quarter and strengthening commercial KPIs, we are raising our 2021 guidance for Adjusted EBITDA to a midpoint of $705 million, our revenue midpoint to $1.79 billion, and our net capex midpoint to $210 million."</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Tim Boswell, Chief Financial Officer of WillScot Mobile Mini Holdings, commented "we are seeing consistent high execution by our team both in our operating results, as well as in the progress towards our ERP migration in the second quarter of 2021. We generated $91.2 million of Free Cash Flow and a 21% Free Cash Flow Margin this quarter, which allows us to pursue multiple capital allocation priorities. We raised our capex guidance to fund the organic growth opportunities that we see in the market, which will benefit our run-rate heading into 2022. We de-levered to 3.7x, progressing towards our target of 3.0x to 3.5x by the end of the year, while refinancing $65 million of our 2025 notes and reducing our weighted average cost of debt to 4.0%. And we repurchased $82 million of common stock and warrants opportunistically. With our end markets and organic growth drivers strengthening, we are incredibly excited to progress towards our $500 million run-rate free cash flow milestone next year and continue pulling these value creation levers."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First Quarter 2021 Results</w:t>
      </w:r>
      <w:r>
        <w:rPr>
          <w:rFonts w:ascii="Arial" w:cs="Arial" w:eastAsia="Arial" w:hAnsi="Arial"/>
          <w:sz w:val="29"/>
          <w:szCs w:val="29"/>
          <w:b w:val="1"/>
          <w:bCs w:val="1"/>
          <w:color w:val="auto"/>
          <w:vertAlign w:val="superscript"/>
        </w:rPr>
        <w:t>1</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increased 66.3% to $425.3 million, while leasing revenues increased 67.6% versus the prior year quarter driven primarily by the addition of Mobile Mini's revenues to our consolidated results as well as due to increased leasing revenues in the NA Modular segment.</w:t>
      </w:r>
    </w:p>
    <w:p>
      <w:pPr>
        <w:spacing w:after="0" w:line="1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modular space units on rent increased 22,360 units, or 25.4%, and average portable storage units on rent increased 129,014 units, both driven by the Merger.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modular space monthly rental rate increased $26, or 4.0% to $679 driven by a $84, or 12.9% increase in the NA Modular segment, offset by the dilutive impact of lower rates due to mix on the Mobile Mini modular space units.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portable storage monthly rental rate increased $16, or 13.4% to $135 driven by the accretive impact of higher rates from the Mobile Mini portable storage fleet.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NA Modular segment revenue increased $10.4 million, or 4.1%, to $266.2 million, primarily driven by an $11.3 million, or 6.0%. increase to leasing revenue due to continued growth of pricing and value added products:</w:t>
      </w:r>
    </w:p>
    <w:p>
      <w:pPr>
        <w:spacing w:after="0" w:line="170" w:lineRule="exact"/>
        <w:rPr>
          <w:rFonts w:ascii="Arial" w:cs="Arial" w:eastAsia="Arial" w:hAnsi="Arial"/>
          <w:sz w:val="18"/>
          <w:szCs w:val="18"/>
          <w:i w:val="1"/>
          <w:iCs w:val="1"/>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NA Modular space average monthly rental rate of $737 increased 12.9% year over year, representing a continuation of the long-term price optimization and VAPS penetration opportunities across our portfolio.</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4"/>
        </w:numPr>
        <w:rPr>
          <w:rFonts w:ascii="Arial" w:cs="Arial" w:eastAsia="Arial" w:hAnsi="Arial"/>
          <w:sz w:val="18"/>
          <w:szCs w:val="18"/>
          <w:i w:val="1"/>
          <w:iCs w:val="1"/>
          <w:color w:val="auto"/>
        </w:rPr>
      </w:pPr>
      <w:r>
        <w:rPr>
          <w:rFonts w:ascii="Arial" w:cs="Arial" w:eastAsia="Arial" w:hAnsi="Arial"/>
          <w:sz w:val="18"/>
          <w:szCs w:val="18"/>
          <w:color w:val="auto"/>
        </w:rPr>
        <w:t>Average modular space units on rent decreased 3,194, or 3.6% year over year driven by lower deliveries, including reduced demand for new project deliveries as a result of the COVID-19 pandemic primarily in the second and third quarter of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EBITDA of $163.6 million increased $74.1 million, or 82.8% year over year. Of this increase, $66.2 million was driven by the addition of Mobile Mini to our consolidated results, with the remainder driven by strong organic growth in the NA Modular segment.</w:t>
      </w:r>
    </w:p>
    <w:p>
      <w:pPr>
        <w:spacing w:after="0" w:line="170"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 our NA Modular segment increased $7.9 million, or 8.8% to $97.4 million primarily driven by increases in leasing and services gross profit excluding depreciation of $6.7 million, or 4.6%, driven by increased pricing and VAPS.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color w:val="auto"/>
        </w:rPr>
        <w:t>Consolidated Adjusted EBITDA Margin was 38.5% in the first quarter and increased 350 bps versus prior year driven by a 160 bps increase in the NA Modular segment, as well as the addition of the higher margin Mobile Mini operations in Q3 2020. Within the NA Modular segment, margin expansion was driven by a 50 bps improvement in leasing and services gross profit margin excluding depreciation due to a higher mix of more profitable leasing revenues driven by increased pricing and VAPS growth.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range of ($3.3 million) to $11.7 million for the three months ended March 31, 2021, pending the finalization of the mark-to-market adjustment of our 2015 private warrants. Adjusted Net Income of $31.7 million for the three months ended March 31, 2021, which excludes the change in fair value of the warrant liability, was up $35.4 million year over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Free Cash Flow increased by $83.4 million year over year to $91.2 million, representing a 21.4% Free Cash Flow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and Liquidity Update</w:t>
      </w:r>
      <w:r>
        <w:rPr>
          <w:rFonts w:ascii="Arial" w:cs="Arial" w:eastAsia="Arial" w:hAnsi="Arial"/>
          <w:sz w:val="29"/>
          <w:szCs w:val="29"/>
          <w:b w:val="1"/>
          <w:bCs w:val="1"/>
          <w:color w:val="auto"/>
          <w:vertAlign w:val="superscript"/>
        </w:rPr>
        <w:t>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Generated $91.2 million of Free Cash Flow in the first quarter.</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Repurchased 2,750,000 shares of our common stock for $73.7 million in connection with a secondary offering by our primary shareholder and repurchased an additional $8.0 million of common stock and warrants, returning a total of $81.6 million to our shareholders.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Redeemed $65.0 million of our 6.125% senior notes due 2025.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$1.0 billion of excess availability under the asset-based revolving credit facility, which combined with strong cash generation from operations and a flexible covenant structure, creates ample liquidity with which to operate the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Weighted average interest rate is approximately 4.0% and annual cash interest expense based on the current debt structure is approximately $100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debt maturities prior to 2025.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period with $27 million of cash on hand and total debt of $2,470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leverage to 3.7x our pro forma last-twelve-months Adjusted EBITDA of $660.6 million and are on a rapid deleveraging trajectory.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Updated Outlook</w:t>
      </w:r>
      <w:r>
        <w:rPr>
          <w:rFonts w:ascii="Arial" w:cs="Arial" w:eastAsia="Arial" w:hAnsi="Arial"/>
          <w:sz w:val="29"/>
          <w:szCs w:val="29"/>
          <w:b w:val="1"/>
          <w:bCs w:val="1"/>
          <w:color w:val="auto"/>
          <w:vertAlign w:val="superscript"/>
        </w:rPr>
        <w:t>1, 2, 3</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guidance is subject to risks and uncertainties, including those described in "Forward-Looking Statements" below. Based on strong performance in the first quarter, we updated our 2021 guidance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Previous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Updated Outlook</w:t>
            </w:r>
          </w:p>
        </w:tc>
      </w:tr>
      <w:tr>
        <w:trPr>
          <w:trHeight w:val="195"/>
        </w:trPr>
        <w:tc>
          <w:tcPr>
            <w:tcW w:w="66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$1,700 million - $1,800</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$1,750 million - $1,830</w:t>
            </w: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million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million</w:t>
            </w:r>
          </w:p>
        </w:tc>
      </w:tr>
      <w:tr>
        <w:trPr>
          <w:trHeight w:val="257"/>
        </w:trPr>
        <w:tc>
          <w:tcPr>
            <w:tcW w:w="664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1,2</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$675 million - $715 million</w:t>
            </w: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$690 million - $720 million</w:t>
            </w:r>
          </w:p>
        </w:tc>
      </w:tr>
      <w:tr>
        <w:trPr>
          <w:trHeight w:val="257"/>
        </w:trPr>
        <w:tc>
          <w:tcPr>
            <w:tcW w:w="6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CAPEX</w:t>
            </w:r>
            <w:r>
              <w:rPr>
                <w:rFonts w:ascii="Arial" w:cs="Arial" w:eastAsia="Arial" w:hAnsi="Arial"/>
                <w:sz w:val="29"/>
                <w:szCs w:val="29"/>
                <w:color w:val="auto"/>
                <w:vertAlign w:val="superscript"/>
              </w:rPr>
              <w:t>2,3</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$180 million - $220 million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$190 million - $230 million</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1 - Adjusted EBITDA, Adjusted EBITDA Margin, Free Cash Flow, and Adjusted Net Income are non-GAAP financial measures. Further information and reconciliations for these Non-GAAP measures to the most directly comparable financial measure under generally accepted accounting principles in the US ("GAAP") is included at the end of this press release.</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2 - Information reconciling forward-looking Adjusted EBITDA and Net CAPEX to GAAP financial measures is unavailable to the Company without unreasonable effort and therefore no reconciliation to the most comparable GAAP measures is provided.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 Net CAPEX is a non-GAAP financial measure. Please see the non-GAAP reconciliation tables included at the end of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Authority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approved an increase of $250 million to our share repurchase authority, for a total share repurchase authority of $500 million.</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Brad Soultz, Chief Executive Officer, commented “I’m pleased that our Board of Directors approved our recommendation to increase our share repurchase authority to $500 million. Our strong first quarter preliminary results, integration progress, organic growth levers, and long duration leases create excellent forward visibility into free cash flow. This increase gives us ample headroom to continue to support shareholder returns as we look ahead to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SEC Guidance Issued April 12, 2021 and Impacts to our Financial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Tim Boswell, Chief Financial Officer of WillScot Mobile Mini, commented, "We're excited about our first quarter results and WillScot Mobile Mini's trajectory heading into the remainder of 2021. As has been widely publicized in the media and as we recently disclosed in an 8-K, the SEC made a public statement on April 12th clarifying its interpretation of accounting guidance related to warrants that are common in special purpose acquisition companies. WillScot, consistent with common market practice up until April 12th, historically classified its warrants as equity. However, to conform with the SEC Statement, we will reclassify our warrants as liabilities and mark them to market in our income statement and restate the financial statements in an amendment to our 10-K. This change to conform to the SEC's interpretations will not impact the terms of the warrants, our operational performance indicators, our GAAP metrics above Operating Income, our non-GAAP metrics, or our capital structure."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restatement to impact net income, earnings per share, total liabilities, and total shareholders’ equity. We do not expect the restatement to impact other GAAP metrics, such as Revenue, Operating Income (Loss), Cash and Cash Equivalents, Assets, or Debt, or our non-GAAP operating metrics, including Pro Forma Revenue, Adjusted EBITDA, Free Cash Flow, Free Cash Flow Margin, Leverage, Liquidity, or Net Capex. Further, we do not expect the restatement to impact compliance with the covenants contained in our credit facility.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Williams Scotsman combined with Double Eagle Acquisition Corp (“DEAC”) in 2017. DEAC was a SPAC, and the restatement pertains to the accounting treatment for our 2015 private and 2015 public warrants that were issued by DEAC in connection with its IPO, as well as our 2018 public warrants issued in connection with our acquisition of ModSpace. Consistent with our review of the applicable accounting literature, guidance provided by third-party advisors, the market transactions that we engage in with our warrant-holders, as well as common accounting practice by companies with warrants similar to ours, we previously accounted for our warrants in our audited financial statements as equity under a fixed accounting model. However, to conform to the SEC Statement, we intend to restate certain of our historical financial statements such that our warrants will be accounted for as liabilities and marked-to-market at each warrant transaction date and at the end of each reporting period. In general, under the mark-to-market accounting model, as our stock price increases, the warrant liability increases, and we recognize additional non-operating and non-cash expense in our income statement. The opposite impact occurs when our stock price declines. We believe that the mark-to-market expense or income included in our financial statements may not be necessarily reflective of the actual financial performance of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As of March 31, 2021, we had 2015 private warrants outstanding representing 6.0 million common share equivalents, no 2015 public warrants outstanding, and 2018 public warrants outstanding representing 9.5 million common share equivalents. All warrants expire in accordance with their terms on November 29, 2022.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restatement, we expect to recognize incremental non-operating and non-cash expense or income in 2018, 2019, and 2020 depending on the change in our stock price during the applicable period. In the future we will present net income excluding this mark-to-market impact as a non-GAAP metric, so that users of financial statements can both understand our historical results and more easily estimate future results.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previously reported net cash flow and debt will not be impacted. We anticipate that the first quarter 2021 non-operating and non-cash expense will be between $20 million and $35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detail regarding how we currently anticipate the restatement will impact our various financial statements:</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Sheet Impact: as of the date of the combination of Williams Scotsman and DEAC, the fair value of the warrants will be reflected as warrant liabilities in our balance sheet.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Statement Impact: the impact of warrant repurchase, exchange or redemption transactions and any change in the fair value of the warrants is recognized in our income statement below operating income as “Change in fair value of warrant liabilities.”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 Impact: Changes in the fair value of the warrants have no impact on net cash provided by operating activities. Cash received for the exercise of warrants is reflected in net cash (used in) provided by financing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June 30, 2020, only the 2015 private warrants will be considered warrant liabilities and subject to the accounting discussed above. The 2018 public warrants were reclassified to equity at June 30, 2020 and the 2015 public warrants were exercised, exchanged, redeemed, or extinguished by the end of the first quarter of 2020.</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estimates contained herein are subject to change as management completes the restatement, and our independent registered public accounting firm has not audited or reviewed these estimates. As a result, the expected financial impact described above is preliminary and subject to change.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includes non-GAAP financial measures, including Adjusted EBITDA, Adjusted EBITDA Margin, Free Cash Flow, Free Cash Flow Margin, Pro Forma Revenue, Adjusted Net Income, and Net CAPEX. Adjusted EBITDA is defined as net income (loss) before income tax expense, net interest expense, depreciation and amortization adjusted for non-cash items considered non-core to business operations including net currency gains and losses, goodwill and other impairment charges, restructuring costs, costs to integrate acquired companies, costs incurred related to transactions, non-cash charges for stock compensation plans, gains and losses resulting from changes in fair value and extinguishment of warrant liabilities, and other discrete expenses. Adjusted EBITDA margin is defined as Adjusted EBITDA divided by revenue. Free Cash Flow is defined as net cash provided by operating activities, less purchases of, and proceeds from, rental equipment and property, plant and equipment, which are all included in cash flows from investing activities. Net CAPEX is defined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 Pro Forma Revenue is defined the same as revenue, but includes pre-acquisition results from Mobile Mini for all periods presented. Adjusted Net Income is defined as Net Income plus or minus the impact of the change in the fair value of the warrant liability. The Company believes that our financial statements that will include the impact of this mark-to-market expense or income may not be necessarily reflective of the actual financial performance of our business. The Company believes that Adjusted EBITDA and Adjusted EBITDA margin are useful to investors because they</w:t>
      </w:r>
    </w:p>
    <w:p>
      <w:pPr>
        <w:jc w:val="both"/>
        <w:ind w:firstLine="8"/>
        <w:spacing w:after="0" w:line="267" w:lineRule="auto"/>
        <w:tabs>
          <w:tab w:leader="none" w:pos="217"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allow investors to compare performance over various reporting periods on a consistent basis by removing from operating results the impact of items that do not reflect core operating performance; (ii) are used by our board of directors and management to assess our performance; (iii) may, subject to the limitations described below, enable investors to compare the performance of the Company to its competitors; and (iv) provide additional tools for investors to use in evaluating ongoing operating results and trends. The Company believes that pro forma revenue is useful to investors because they allow investors to compare performance of the combined Company over various reporting periods on a consistent basis. The Company believes that Net CAPEX provide useful additional information concerning cash flow available to meet future debt service obligations. However, Adjusted EBITDA is not a measure of financial performance or liquidity under GAAP and, accordingly, should not be considered as an alternative to net income or cash flow from operating activities as an indicator of operating performance or liquidity. These non-GAAP measures should not be considered in isolation from, or as an alternative to, financial measures determined in accordance with GAAP. Other companies may calculate Adjusted EBITDA and other non-GAAP financial measures differently, and therefore the Company's non-GAAP financial measures may not be directly comparable to similarly-titled measures of other companies. For reconciliation of the non-GAAP measures used in this press release (except as explained below), see “Reconciliation of Non-GAAP Financial Measures" included in this press release.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reconciling forward-looking Adjusted EBITDA to GAAP financial measures is unavailable to the Company without unreasonable effort. We cannot provide reconciliations of forward-looking Adjusted EBITDA to GAAP financial measures because certain items required for such reconciliations are outside of our control and/or cannot be reasonably predicted, such as the provision for income taxes. Preparation of such reconciliations would require a forward-looking balance sheet, statement of income and statement of cash flow, prepared in accordance with GAAP, and such forward-looking financial statements are unavailable to the Company without unreasonable effort. Although we provide a range of Adjusted EBITDA that we believe will be achieved, we cannot accurately predict all the components of the Adjusted EBITDA calculation. The Company provides Adjusted EBITDA guidance because we believe that Adjusted EBITDA, when viewed with our results under GAAP, provides useful information for the reasons noted above.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WillScot Mobile Mini Holdings will host a conference call and webcast to discuss its first quarter 2021 results and outlook at 10 a.m. Eastern Time on Friday, April 30, 2021. The live call may be accessed by dialing (855) 312-9420 (US/Canada toll-free) or (210) 874-7774 (international) and asking to be connected to the WillScot Mobile Mini Holdings call. A live webcast will also be accessible via the "Events &amp; Presentations" section of the Company's investor relations website www.willscotmobilemini.com. Choose "Events" and select the information pertaining to the WillScot Mobile Mini Holdings First Quarter 2021 Conference Call. Additionally, there will be slides accompanying the webcast. Please allow at least 15 minutes prior to the call to register, download and install any necessary software. For those unable to listen to the live broadcast, an audio webcast of the call will be available for 60 days on the Company’s investor relations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WillScot Mobile Mini Holdings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WillScot Mobile Mini Holdings trades on the Nasdaq stock exchange under the ticker symbol “WSC.” Headquartered in Phoenix, Arizona, the Company is a leading business services provider specializing in innovative flexible workspace and portable storage solutions. WillScot Mobile Mini services diverse end markets across all sectors of the economy from a network of approximately 275 branch locations and additional drop lots throughout the United States, Canada, Mexico, and the United Kingdom.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news release contains forward-looking statements (including the guidance/outlook contained herein) within the meaning of the U.S. Private Securities Litigation Reform Act of 1995 and Section 21E of the Securities Exchange Act of 1934, as amended. The words "estimates," "expects," "anticipates," "believes," "forecasts," "plans," "intends," "may," "will," "should," "shall," "outlook" and variations of these words and similar expressions identify forward-looking statements, which are generally not historical in nature. Certain of these forward-looking statements include statements relating to: the effects of the restatement on our financial statements; our long-term growth prospects, the ability of our capital structure to support the business, our future cash flow and liquidity, our deleveraging trajectory, continued VAPS penetration opportunities, and our revenue and our growth, Adjusted EBITDA and Net Capex outlooks.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the Company believes that these forward-looking statements are based on reasonable assumptions, they are predictions and we can give no assurance that any such forward-looking statement will materialize. Important factors that may affect actual results or outcomes include, among others, our ability to acquire and integrate new assets and operations; our ability to achieve planned synergies related to acquisitions; our ability to manage growth and execute our business plan; our estimates of the size of the markets for our products; the rate and degree of market acceptance of our products; the success of other competing modular space and portable storage solutions that exist or may become available; rising costs adversely affecting our profitability; potential litigation involving our Company; general economic and market conditions impacting demand for our products and services; our ability to maintain an effective system of internal controls; and such other risks and uncertainties described in the periodic reports we file with the SEC from time to time (including our Form 10-K for the year ended December 31, 2020), which are available through the SEC’s EDGAR system at www.sec.gov and on our website. Any forward-looking statement speaks only at the date which it is made, and the Company disclaims any obligation to update or revise any forward-looking statements,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on the company's website at www.willscotmobilemini.com.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Contact Information</w:t>
            </w:r>
          </w:p>
        </w:tc>
        <w:tc>
          <w:tcPr>
            <w:tcW w:w="6940" w:type="dxa"/>
            <w:vAlign w:val="bottom"/>
          </w:tcPr>
          <w:p>
            <w:pPr>
              <w:spacing w:after="0"/>
              <w:rPr>
                <w:sz w:val="20"/>
                <w:szCs w:val="20"/>
                <w:color w:val="auto"/>
              </w:rPr>
            </w:pPr>
          </w:p>
        </w:tc>
      </w:tr>
      <w:tr>
        <w:trPr>
          <w:trHeight w:val="418"/>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Investor Inquiries:</w:t>
            </w:r>
          </w:p>
        </w:tc>
        <w:tc>
          <w:tcPr>
            <w:tcW w:w="6940" w:type="dxa"/>
            <w:vAlign w:val="bottom"/>
          </w:tcPr>
          <w:p>
            <w:pPr>
              <w:ind w:left="2680"/>
              <w:spacing w:after="0"/>
              <w:rPr>
                <w:sz w:val="20"/>
                <w:szCs w:val="20"/>
                <w:color w:val="auto"/>
              </w:rPr>
            </w:pPr>
            <w:r>
              <w:rPr>
                <w:rFonts w:ascii="Arial" w:cs="Arial" w:eastAsia="Arial" w:hAnsi="Arial"/>
                <w:sz w:val="18"/>
                <w:szCs w:val="18"/>
                <w:b w:val="1"/>
                <w:bCs w:val="1"/>
                <w:color w:val="auto"/>
              </w:rPr>
              <w:t>Media Inquiries:</w:t>
            </w:r>
          </w:p>
        </w:tc>
      </w:tr>
      <w:tr>
        <w:trPr>
          <w:trHeight w:val="216"/>
        </w:trPr>
        <w:tc>
          <w:tcPr>
            <w:tcW w:w="4300" w:type="dxa"/>
            <w:vAlign w:val="bottom"/>
          </w:tcPr>
          <w:p>
            <w:pPr>
              <w:ind w:left="460"/>
              <w:spacing w:after="0"/>
              <w:rPr>
                <w:sz w:val="20"/>
                <w:szCs w:val="20"/>
                <w:color w:val="auto"/>
              </w:rPr>
            </w:pPr>
            <w:r>
              <w:rPr>
                <w:rFonts w:ascii="Arial" w:cs="Arial" w:eastAsia="Arial" w:hAnsi="Arial"/>
                <w:sz w:val="18"/>
                <w:szCs w:val="18"/>
                <w:color w:val="auto"/>
              </w:rPr>
              <w:t>Nick Girardi</w:t>
            </w:r>
          </w:p>
        </w:tc>
        <w:tc>
          <w:tcPr>
            <w:tcW w:w="6940" w:type="dxa"/>
            <w:vAlign w:val="bottom"/>
          </w:tcPr>
          <w:p>
            <w:pPr>
              <w:ind w:left="2680"/>
              <w:spacing w:after="0"/>
              <w:rPr>
                <w:sz w:val="20"/>
                <w:szCs w:val="20"/>
                <w:color w:val="auto"/>
              </w:rPr>
            </w:pPr>
            <w:r>
              <w:rPr>
                <w:rFonts w:ascii="Arial" w:cs="Arial" w:eastAsia="Arial" w:hAnsi="Arial"/>
                <w:sz w:val="18"/>
                <w:szCs w:val="18"/>
                <w:color w:val="auto"/>
              </w:rPr>
              <w:t>Scott Junk</w:t>
            </w:r>
          </w:p>
        </w:tc>
      </w:tr>
      <w:tr>
        <w:trPr>
          <w:trHeight w:val="230"/>
        </w:trPr>
        <w:tc>
          <w:tcPr>
            <w:tcW w:w="4300" w:type="dxa"/>
            <w:vAlign w:val="bottom"/>
          </w:tcPr>
          <w:p>
            <w:pPr>
              <w:ind w:left="460"/>
              <w:spacing w:after="0"/>
              <w:rPr>
                <w:sz w:val="20"/>
                <w:szCs w:val="20"/>
                <w:color w:val="auto"/>
              </w:rPr>
            </w:pPr>
            <w:r>
              <w:rPr>
                <w:rFonts w:ascii="Arial" w:cs="Arial" w:eastAsia="Arial" w:hAnsi="Arial"/>
                <w:sz w:val="18"/>
                <w:szCs w:val="18"/>
                <w:color w:val="auto"/>
              </w:rPr>
              <w:t>investors@willscotmobilemini.com</w:t>
            </w:r>
          </w:p>
        </w:tc>
        <w:tc>
          <w:tcPr>
            <w:tcW w:w="6940" w:type="dxa"/>
            <w:vAlign w:val="bottom"/>
          </w:tcPr>
          <w:p>
            <w:pPr>
              <w:ind w:left="2680"/>
              <w:spacing w:after="0"/>
              <w:rPr>
                <w:sz w:val="20"/>
                <w:szCs w:val="20"/>
                <w:color w:val="auto"/>
              </w:rPr>
            </w:pPr>
            <w:r>
              <w:rPr>
                <w:rFonts w:ascii="Arial" w:cs="Arial" w:eastAsia="Arial" w:hAnsi="Arial"/>
                <w:sz w:val="18"/>
                <w:szCs w:val="18"/>
                <w:color w:val="auto"/>
              </w:rPr>
              <w:t>scott.junk@willscotmobilemini.com</w:t>
            </w:r>
          </w:p>
        </w:tc>
      </w:tr>
      <w:tr>
        <w:trPr>
          <w:trHeight w:val="648"/>
        </w:trPr>
        <w:tc>
          <w:tcPr>
            <w:tcW w:w="43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WillScot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(As Restated)</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Leasing and services revenue: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31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315,662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188,352</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Delivery and installation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83,504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51,070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revenue: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New units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10,955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units</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15,202</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425,323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Costs of leasing and services: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69,895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49,809</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Delivery and installation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70,136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43,865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sales: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New units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7,109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units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Depreciation of rental equipment</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55,698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60"/>
              <w:spacing w:after="0"/>
              <w:rPr>
                <w:sz w:val="20"/>
                <w:szCs w:val="20"/>
                <w:color w:val="auto"/>
              </w:rPr>
            </w:pPr>
            <w:r>
              <w:rPr>
                <w:rFonts w:ascii="Arial" w:cs="Arial" w:eastAsia="Arial" w:hAnsi="Arial"/>
                <w:sz w:val="18"/>
                <w:szCs w:val="18"/>
                <w:color w:val="auto"/>
              </w:rPr>
              <w:t>Expenses: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116,485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65,537</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Transaction costs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depreciation and amortization</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18,324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Lease impairment expense and other related charges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costs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Currency losses, net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9"/>
        </w:trPr>
        <w:tc>
          <w:tcPr>
            <w:tcW w:w="48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75,284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29,964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3,185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Fair value (gain) loss on warrant liabilities</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(80,000) –</w:t>
            </w:r>
          </w:p>
        </w:tc>
        <w:tc>
          <w:tcPr>
            <w:tcW w:w="0" w:type="dxa"/>
            <w:vAlign w:val="bottom"/>
          </w:tcPr>
          <w:p>
            <w:pPr>
              <w:spacing w:after="0"/>
              <w:rPr>
                <w:sz w:val="1"/>
                <w:szCs w:val="1"/>
                <w:color w:val="auto"/>
              </w:rPr>
            </w:pPr>
          </w:p>
        </w:tc>
      </w:tr>
      <w:tr>
        <w:trPr>
          <w:trHeight w:val="230"/>
        </w:trPr>
        <w:tc>
          <w:tcPr>
            <w:tcW w:w="4880" w:type="dxa"/>
            <w:vAlign w:val="bottom"/>
            <w:vMerge w:val="continue"/>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20,000 – 35,000</w:t>
            </w: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0"/>
        </w:trPr>
        <w:tc>
          <w:tcPr>
            <w:tcW w:w="4880" w:type="dxa"/>
            <w:vAlign w:val="bottom"/>
          </w:tcPr>
          <w:p>
            <w:pPr>
              <w:ind w:left="60"/>
              <w:spacing w:after="0"/>
              <w:rPr>
                <w:sz w:val="20"/>
                <w:szCs w:val="20"/>
                <w:color w:val="auto"/>
              </w:rPr>
            </w:pPr>
            <w:r>
              <w:rPr>
                <w:rFonts w:ascii="Arial" w:cs="Arial" w:eastAsia="Arial" w:hAnsi="Arial"/>
                <w:sz w:val="18"/>
                <w:szCs w:val="18"/>
                <w:color w:val="auto"/>
              </w:rPr>
              <w:t>Income (loss) before income tax</w:t>
            </w:r>
          </w:p>
        </w:tc>
        <w:tc>
          <w:tcPr>
            <w:tcW w:w="2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7,135 - 22,135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77,116 - 107,116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10,481</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0"/>
        </w:trPr>
        <w:tc>
          <w:tcPr>
            <w:tcW w:w="4880" w:type="dxa"/>
            <w:vAlign w:val="bottom"/>
          </w:tcPr>
          <w:p>
            <w:pPr>
              <w:ind w:left="60"/>
              <w:spacing w:after="0"/>
              <w:rPr>
                <w:sz w:val="20"/>
                <w:szCs w:val="20"/>
                <w:color w:val="auto"/>
              </w:rPr>
            </w:pPr>
            <w:r>
              <w:rPr>
                <w:rFonts w:ascii="Arial" w:cs="Arial" w:eastAsia="Arial" w:hAnsi="Arial"/>
                <w:sz w:val="18"/>
                <w:szCs w:val="18"/>
                <w:color w:val="auto"/>
              </w:rPr>
              <w:t>Net income (loss)</w:t>
            </w:r>
          </w:p>
        </w:tc>
        <w:tc>
          <w:tcPr>
            <w:tcW w:w="2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(3,346) - 11,654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76,326 - 106,326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attributable to non-controlling interest, net of tax</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880" w:type="dxa"/>
            <w:vAlign w:val="bottom"/>
          </w:tcPr>
          <w:p>
            <w:pPr>
              <w:ind w:left="60"/>
              <w:spacing w:after="0"/>
              <w:rPr>
                <w:sz w:val="20"/>
                <w:szCs w:val="20"/>
                <w:color w:val="auto"/>
              </w:rPr>
            </w:pPr>
            <w:r>
              <w:rPr>
                <w:rFonts w:ascii="Arial" w:cs="Arial" w:eastAsia="Arial" w:hAnsi="Arial"/>
                <w:sz w:val="18"/>
                <w:szCs w:val="18"/>
                <w:color w:val="auto"/>
              </w:rPr>
              <w:t>Net income (loss) attributable to WillScot Mobile Mini</w:t>
            </w:r>
          </w:p>
        </w:tc>
        <w:tc>
          <w:tcPr>
            <w:tcW w:w="2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(3,346) - 11,654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76,456 - 106,456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00" w:type="dxa"/>
            <w:vAlign w:val="bottom"/>
            <w:vMerge w:val="restart"/>
          </w:tcPr>
          <w:p>
            <w:pPr>
              <w:jc w:val="right"/>
              <w:ind w:right="203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Unaudited Segment Operating Data</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Comparison of Three Months Ended March 31, 2021 and 2020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3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8"/>
                <w:szCs w:val="18"/>
                <w:b w:val="1"/>
                <w:bCs w:val="1"/>
                <w:color w:val="auto"/>
                <w:w w:val="92"/>
              </w:rPr>
              <w:t>Three Months Ended March 31,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Tank and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w w:val="93"/>
              </w:rPr>
              <w:t>(in thousands, except for units on rent and rates)</w:t>
            </w:r>
          </w:p>
        </w:tc>
        <w:tc>
          <w:tcPr>
            <w:tcW w:w="10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NA Modular</w:t>
            </w:r>
          </w:p>
        </w:tc>
        <w:tc>
          <w:tcPr>
            <w:tcW w:w="1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NA Storage</w:t>
            </w:r>
          </w:p>
        </w:tc>
        <w:tc>
          <w:tcPr>
            <w:tcW w:w="12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UK Storage</w:t>
            </w:r>
          </w:p>
        </w:tc>
        <w:tc>
          <w:tcPr>
            <w:tcW w:w="16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Pump</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266,224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27,007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113,002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72,619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16,493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11,266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213,380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97,371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163,585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Capital expenditures for rental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39,135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6,770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3,158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52,535</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modular space units on rent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84,795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110,349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modular space utilization rate</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modular space monthly rental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portable storage units on rent</w:t>
            </w: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14,903</w:t>
            </w: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105,810</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24,647</w:t>
            </w: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145,360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portable storage utilization rate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portable storage monthly rental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tank and pump solutions rental fleet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utilization based on original equipment cost</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r>
      <w:tr>
        <w:trPr>
          <w:trHeight w:val="446"/>
        </w:trPr>
        <w:tc>
          <w:tcPr>
            <w:tcW w:w="3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8"/>
                <w:szCs w:val="18"/>
                <w:b w:val="1"/>
                <w:bCs w:val="1"/>
                <w:color w:val="auto"/>
                <w:w w:val="92"/>
              </w:rPr>
              <w:t>Three Months Ended March 31, 2020</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Tank and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w w:val="93"/>
              </w:rPr>
              <w:t>(in thousands, except for units on rent and rates)</w:t>
            </w:r>
          </w:p>
        </w:tc>
        <w:tc>
          <w:tcPr>
            <w:tcW w:w="10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NA Modular</w:t>
            </w:r>
          </w:p>
        </w:tc>
        <w:tc>
          <w:tcPr>
            <w:tcW w:w="1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NA Storage</w:t>
            </w:r>
          </w:p>
        </w:tc>
        <w:tc>
          <w:tcPr>
            <w:tcW w:w="12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UK Storage</w:t>
            </w:r>
          </w:p>
        </w:tc>
        <w:tc>
          <w:tcPr>
            <w:tcW w:w="16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Pump</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255,821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255,821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106,190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106,190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89,544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Capital expenditures for rental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39,648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39,648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modular space units on rent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87,989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87,989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modular space utilization rate</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modular space monthly rental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portable storage units on rent</w:t>
            </w: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16,346</w:t>
            </w: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16,346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Average portable storage utilization rate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portable storage monthly rental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tank and pump solutions rental fleet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utilization based on original equipment cost</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648"/>
        </w:trPr>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intrinsic operating results of the Company.</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evaluate Free Cash Flow, a non-GAAP measure that provides useful information concerning cash flow available to meet future debt service obligations and working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84" w:lineRule="exact"/>
        <w:rPr>
          <w:sz w:val="20"/>
          <w:szCs w:val="20"/>
          <w:color w:val="auto"/>
        </w:rPr>
      </w:pPr>
    </w:p>
    <w:p>
      <w:pPr>
        <w:jc w:val="both"/>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123" w:lineRule="exact"/>
        <w:rPr>
          <w:rFonts w:ascii="Arial" w:cs="Arial" w:eastAsia="Arial" w:hAnsi="Arial"/>
          <w:sz w:val="16"/>
          <w:szCs w:val="16"/>
          <w:color w:val="auto"/>
        </w:rPr>
      </w:pPr>
    </w:p>
    <w:p>
      <w:pPr>
        <w:ind w:left="1300" w:right="2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and other impairment charges related to non-cash costs associated with impairment charges to goodwill, other intangibles, rental fleet and property, plant and equipment.</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costs, lease impairment expense, and other related charges associated with restructuring plans designed to streamline operations and reduce costs including employee and lease termination costs.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costs including legal and professional fees and other transaction specific related costs.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Non-cash charges for stock compensation plans.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Gains and losses resulting from changes in fair value and extinguishment of warrant liabilities.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 includes consulting expenses related to certain one-time projects, financing costs not classified as interest expense, and gains and losses on disposals of property, plant, and equipment.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Adjusted EBITDA has limitations as an analytical tool, and you should not consider the measure in isolation or as a substitute for net income (loss), cash flow from operations or other methods of analyzing the Company’s results as reported under US GAAP. Some of these limitations are:</w:t>
      </w:r>
    </w:p>
    <w:p>
      <w:pPr>
        <w:spacing w:after="0" w:line="14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our interest expense, or the cash requirements necessary to service interest or principal payments, on our indebtedness;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our tax expense or the cash requirements to pay our taxes;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historical cash expenditures or future requirements for capital expenditures or contractual commitments;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impact on earnings or changes resulting from matters that we consider not to be indicative of our future operations;</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discretionary cash available to reinvest in the growth of our business or as measures of cash that will be available to meet our obligations. The following tables provide unaudited reconciliations of Net income (loss)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March 31,</w:t>
            </w:r>
          </w:p>
        </w:tc>
      </w:tr>
      <w:tr>
        <w:trPr>
          <w:trHeight w:val="191"/>
        </w:trPr>
        <w:tc>
          <w:tcPr>
            <w:tcW w:w="7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(As Restated)</w:t>
            </w: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(3,346) - 11,654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76,326 - 106,326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(80,000) -</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Fair value (gain) loss on warrant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20,000 - 35,000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10,481</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3,185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29,964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28,257</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74,022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49,022</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(gains) losses, net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costs, lease impairment expense and other related charges</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transaction costs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Integration costs</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7,342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(1,852)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23"/>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Margin Non-GAAP Reconciliation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define Adjusted EBITDA Margin as Adjusted EBITDA divided by Revenue. Management believes that the presentation of Adjusted EBITDA Margin provides useful information to investors regarding the performance of our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following tables provide unaudited reconciliations of Adjusted EBITDA Margin.</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Revenue (B)</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425,323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255,821</w:t>
            </w:r>
          </w:p>
        </w:tc>
        <w:tc>
          <w:tcPr>
            <w:tcW w:w="0" w:type="dxa"/>
            <w:vAlign w:val="bottom"/>
          </w:tcPr>
          <w:p>
            <w:pPr>
              <w:spacing w:after="0"/>
              <w:rPr>
                <w:sz w:val="1"/>
                <w:szCs w:val="1"/>
                <w:color w:val="auto"/>
              </w:rPr>
            </w:pPr>
          </w:p>
        </w:tc>
      </w:tr>
      <w:tr>
        <w:trPr>
          <w:trHeight w:val="20"/>
        </w:trPr>
        <w:tc>
          <w:tcPr>
            <w:tcW w:w="7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Adjusted EBITDA Margin (A/B)</w:t>
            </w: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Non-GAAP Reconciliation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Net Income as Net Income plus or minus the impact of the change in the fair value of the warrant liability. Management believes that our financial statements that will include the impact of this mark-to-market expense or income may not be necessarily reflective of the actual financial performance of our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(As Restated)</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(3,346) - 11,654</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76,326 - 106,326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vMerge w:val="restart"/>
          </w:tcPr>
          <w:p>
            <w:pPr>
              <w:spacing w:after="0"/>
              <w:rPr>
                <w:sz w:val="20"/>
                <w:szCs w:val="20"/>
                <w:color w:val="auto"/>
              </w:rPr>
            </w:pPr>
            <w:r>
              <w:rPr>
                <w:rFonts w:ascii="Arial" w:cs="Arial" w:eastAsia="Arial" w:hAnsi="Arial"/>
                <w:sz w:val="18"/>
                <w:szCs w:val="18"/>
                <w:color w:val="auto"/>
              </w:rPr>
              <w:t>Fair value (gain) loss on warrant liabilities</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(80,000) -</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vMerge w:val="continue"/>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20,000 - 35,000</w:t>
            </w:r>
          </w:p>
        </w:tc>
        <w:tc>
          <w:tcPr>
            <w:tcW w:w="2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Net Income</w:t>
            </w: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Free 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unaudited reconciliations of net cash provided by operating activities to Free Cash Flow.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gridSpan w:val="2"/>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Purchase of rental equipment and refurbishments</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(52,535)</w:t>
            </w:r>
          </w:p>
        </w:tc>
        <w:tc>
          <w:tcPr>
            <w:tcW w:w="4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(39,648)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rental equipment</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15,202</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(7,307)</w:t>
            </w:r>
          </w:p>
        </w:tc>
        <w:tc>
          <w:tcPr>
            <w:tcW w:w="4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(1,518)</w:t>
            </w:r>
          </w:p>
        </w:tc>
      </w:tr>
      <w:tr>
        <w:trPr>
          <w:trHeight w:val="22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plant and equipment</w:t>
            </w:r>
          </w:p>
        </w:tc>
        <w:tc>
          <w:tcPr>
            <w:tcW w:w="1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13,729</w:t>
            </w: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3,840</w:t>
            </w:r>
          </w:p>
        </w:tc>
        <w:tc>
          <w:tcPr>
            <w:tcW w:w="80" w:type="dxa"/>
            <w:vAlign w:val="bottom"/>
            <w:shd w:val="clear" w:color="auto" w:fill="CCEEFF"/>
          </w:tcPr>
          <w:p>
            <w:pPr>
              <w:spacing w:after="0"/>
              <w:rPr>
                <w:sz w:val="19"/>
                <w:szCs w:val="19"/>
                <w:color w:val="auto"/>
              </w:rPr>
            </w:pPr>
          </w:p>
        </w:tc>
      </w:tr>
      <w:tr>
        <w:trPr>
          <w:trHeight w:val="223"/>
        </w:trPr>
        <w:tc>
          <w:tcPr>
            <w:tcW w:w="5900" w:type="dxa"/>
            <w:vAlign w:val="bottom"/>
          </w:tcPr>
          <w:p>
            <w:pPr>
              <w:ind w:left="180"/>
              <w:spacing w:after="0"/>
              <w:rPr>
                <w:sz w:val="20"/>
                <w:szCs w:val="20"/>
                <w:color w:val="auto"/>
              </w:rPr>
            </w:pPr>
            <w:r>
              <w:rPr>
                <w:rFonts w:ascii="Arial" w:cs="Arial" w:eastAsia="Arial" w:hAnsi="Arial"/>
                <w:sz w:val="18"/>
                <w:szCs w:val="18"/>
                <w:color w:val="auto"/>
              </w:rPr>
              <w:t>Free Cash Flow</w:t>
            </w:r>
          </w:p>
        </w:tc>
        <w:tc>
          <w:tcPr>
            <w:tcW w:w="18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91,160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Our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unaudited reconciliations of gross profit to Adjusted Gross Profit and Adjusted Gross Profit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 (A)</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255,821</w:t>
            </w:r>
          </w:p>
        </w:tc>
        <w:tc>
          <w:tcPr>
            <w:tcW w:w="16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 (B)</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213,380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106,190</w:t>
            </w: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Depreciation of rental equipment</w:t>
            </w:r>
          </w:p>
        </w:tc>
        <w:tc>
          <w:tcPr>
            <w:tcW w:w="3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55,698</w:t>
            </w:r>
          </w:p>
        </w:tc>
        <w:tc>
          <w:tcPr>
            <w:tcW w:w="4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45,948</w:t>
            </w:r>
          </w:p>
        </w:tc>
      </w:tr>
      <w:tr>
        <w:trPr>
          <w:trHeight w:val="223"/>
        </w:trPr>
        <w:tc>
          <w:tcPr>
            <w:tcW w:w="7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Gross Profit (C)</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(B/A)</w:t>
            </w:r>
          </w:p>
        </w:tc>
        <w:tc>
          <w:tcPr>
            <w:tcW w:w="58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Adjusted Gross Profit Percentage (C/A)</w:t>
            </w:r>
          </w:p>
        </w:tc>
        <w:tc>
          <w:tcPr>
            <w:tcW w:w="5880" w:type="dxa"/>
            <w:vAlign w:val="bottom"/>
          </w:tcPr>
          <w:p>
            <w:pPr>
              <w:jc w:val="right"/>
              <w:ind w:right="590"/>
              <w:spacing w:after="0"/>
              <w:rPr>
                <w:sz w:val="20"/>
                <w:szCs w:val="20"/>
                <w:color w:val="auto"/>
              </w:rPr>
            </w:pPr>
            <w:r>
              <w:rPr>
                <w:rFonts w:ascii="Arial" w:cs="Arial" w:eastAsia="Arial" w:hAnsi="Arial"/>
                <w:sz w:val="18"/>
                <w:szCs w:val="18"/>
                <w:color w:val="auto"/>
              </w:rPr>
              <w:t>63.3%</w:t>
            </w:r>
          </w:p>
        </w:tc>
        <w:tc>
          <w:tcPr>
            <w:tcW w:w="11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634"/>
        </w:trPr>
        <w:tc>
          <w:tcPr>
            <w:tcW w:w="420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jc w:val="right"/>
              <w:ind w:right="427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Net CAPEX</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6"/>
              </w:rPr>
              <w:t>The following table provides unaudited reconciliations of Net CAPEX:</w:t>
            </w: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5"/>
          </w:tcPr>
          <w:p>
            <w:pPr>
              <w:jc w:val="right"/>
              <w:ind w:right="90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purchases of rental equipment and refurbishments</w:t>
            </w: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Total proceeds from sale of rental equipment</w:t>
            </w: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15,202</w:t>
            </w:r>
          </w:p>
        </w:tc>
        <w:tc>
          <w:tcPr>
            <w:tcW w:w="44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CAPEX for Rental Equipment</w:t>
            </w:r>
          </w:p>
        </w:tc>
        <w:tc>
          <w:tcPr>
            <w:tcW w:w="2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(7,307)</w:t>
            </w: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13,729</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rPr>
              <w:t>Net CAPEX</w:t>
            </w:r>
          </w:p>
        </w:tc>
        <w:tc>
          <w:tcPr>
            <w:tcW w:w="24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4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2021-04-29T17:15:34Z</dcterms:created>
  <dcterms:modified xsi:type="dcterms:W3CDTF">2021-04-29T17:15:34Z</dcterms:modified>
</cp:coreProperties>
</file>