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498475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465455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8" w:lineRule="exact"/>
        <w:rPr>
          <w:sz w:val="24"/>
          <w:szCs w:val="24"/>
          <w:color w:val="auto"/>
        </w:rPr>
      </w:pPr>
    </w:p>
    <w:p>
      <w:pPr>
        <w:ind w:left="3960" w:right="2680" w:hanging="3248"/>
        <w:spacing w:after="0" w:line="345" w:lineRule="auto"/>
        <w:tabs>
          <w:tab w:leader="none" w:pos="1515"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2022</w:t>
      </w:r>
    </w:p>
    <w:p>
      <w:pPr>
        <w:spacing w:after="0" w:line="122" w:lineRule="exact"/>
        <w:rPr>
          <w:sz w:val="24"/>
          <w:szCs w:val="24"/>
          <w:color w:val="auto"/>
        </w:rPr>
      </w:pPr>
    </w:p>
    <w:p>
      <w:pPr>
        <w:ind w:left="3920" w:right="2680" w:hanging="3208"/>
        <w:spacing w:after="0" w:line="345"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2"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2195830</wp:posOffset>
            </wp:positionH>
            <wp:positionV relativeFrom="paragraph">
              <wp:posOffset>75565</wp:posOffset>
            </wp:positionV>
            <wp:extent cx="2750820" cy="769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0820" cy="769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MOBILE MINI HOLDINGS CORP.</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3940" w:type="dxa"/>
            <w:vAlign w:val="bottom"/>
          </w:tcPr>
          <w:p>
            <w:pPr>
              <w:spacing w:after="0"/>
              <w:rPr>
                <w:sz w:val="15"/>
                <w:szCs w:val="15"/>
                <w:color w:val="auto"/>
              </w:rPr>
            </w:pPr>
          </w:p>
        </w:tc>
        <w:tc>
          <w:tcPr>
            <w:tcW w:w="3580" w:type="dxa"/>
            <w:vAlign w:val="bottom"/>
          </w:tcPr>
          <w:p>
            <w:pPr>
              <w:jc w:val="center"/>
              <w:ind w:right="151"/>
              <w:spacing w:after="0"/>
              <w:rPr>
                <w:sz w:val="20"/>
                <w:szCs w:val="20"/>
                <w:color w:val="auto"/>
              </w:rPr>
            </w:pPr>
            <w:r>
              <w:rPr>
                <w:rFonts w:ascii="Arial" w:cs="Arial" w:eastAsia="Arial" w:hAnsi="Arial"/>
                <w:sz w:val="14"/>
                <w:szCs w:val="14"/>
                <w:color w:val="auto"/>
                <w:w w:val="97"/>
              </w:rPr>
              <w:t>(Exact name of registrant as specified in its charter)</w:t>
            </w:r>
          </w:p>
        </w:tc>
        <w:tc>
          <w:tcPr>
            <w:tcW w:w="3720" w:type="dxa"/>
            <w:vAlign w:val="bottom"/>
          </w:tcPr>
          <w:p>
            <w:pPr>
              <w:spacing w:after="0"/>
              <w:rPr>
                <w:sz w:val="15"/>
                <w:szCs w:val="15"/>
                <w:color w:val="auto"/>
              </w:rPr>
            </w:pPr>
          </w:p>
        </w:tc>
      </w:tr>
      <w:tr>
        <w:trPr>
          <w:trHeight w:val="188"/>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580" w:type="dxa"/>
            <w:vAlign w:val="bottom"/>
          </w:tcPr>
          <w:p>
            <w:pPr>
              <w:spacing w:after="0"/>
              <w:rPr>
                <w:sz w:val="16"/>
                <w:szCs w:val="16"/>
                <w:color w:val="auto"/>
              </w:rPr>
            </w:pPr>
          </w:p>
        </w:tc>
        <w:tc>
          <w:tcPr>
            <w:tcW w:w="372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187"/>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580" w:type="dxa"/>
            <w:vAlign w:val="bottom"/>
          </w:tcPr>
          <w:p>
            <w:pPr>
              <w:spacing w:after="0"/>
              <w:rPr>
                <w:sz w:val="16"/>
                <w:szCs w:val="16"/>
                <w:color w:val="auto"/>
              </w:rPr>
            </w:pPr>
          </w:p>
        </w:tc>
        <w:tc>
          <w:tcPr>
            <w:tcW w:w="3720" w:type="dxa"/>
            <w:vAlign w:val="bottom"/>
          </w:tcPr>
          <w:p>
            <w:pPr>
              <w:jc w:val="center"/>
              <w:ind w:right="11"/>
              <w:spacing w:after="0"/>
              <w:rPr>
                <w:sz w:val="20"/>
                <w:szCs w:val="20"/>
                <w:color w:val="auto"/>
              </w:rPr>
            </w:pPr>
            <w:r>
              <w:rPr>
                <w:rFonts w:ascii="Arial" w:cs="Arial" w:eastAsia="Arial" w:hAnsi="Arial"/>
                <w:sz w:val="14"/>
                <w:szCs w:val="14"/>
                <w:color w:val="auto"/>
                <w:w w:val="98"/>
              </w:rPr>
              <w:t>(I.R.S. Employer Identification No.)</w:t>
            </w:r>
          </w:p>
        </w:tc>
      </w:tr>
      <w:tr>
        <w:trPr>
          <w:trHeight w:val="256"/>
        </w:trPr>
        <w:tc>
          <w:tcPr>
            <w:tcW w:w="3940" w:type="dxa"/>
            <w:vAlign w:val="bottom"/>
          </w:tcPr>
          <w:p>
            <w:pPr>
              <w:spacing w:after="0"/>
              <w:rPr>
                <w:sz w:val="22"/>
                <w:szCs w:val="22"/>
                <w:color w:val="auto"/>
              </w:rPr>
            </w:pPr>
          </w:p>
        </w:tc>
        <w:tc>
          <w:tcPr>
            <w:tcW w:w="3580" w:type="dxa"/>
            <w:vAlign w:val="bottom"/>
          </w:tcPr>
          <w:p>
            <w:pPr>
              <w:jc w:val="center"/>
              <w:ind w:right="151"/>
              <w:spacing w:after="0"/>
              <w:rPr>
                <w:sz w:val="20"/>
                <w:szCs w:val="20"/>
                <w:color w:val="auto"/>
              </w:rPr>
            </w:pPr>
            <w:r>
              <w:rPr>
                <w:rFonts w:ascii="Arial" w:cs="Arial" w:eastAsia="Arial" w:hAnsi="Arial"/>
                <w:sz w:val="14"/>
                <w:szCs w:val="14"/>
                <w:b w:val="1"/>
                <w:bCs w:val="1"/>
                <w:color w:val="auto"/>
                <w:w w:val="97"/>
              </w:rPr>
              <w:t>4646 E Van Buren St., Suite 400</w:t>
            </w:r>
          </w:p>
        </w:tc>
        <w:tc>
          <w:tcPr>
            <w:tcW w:w="3720" w:type="dxa"/>
            <w:vAlign w:val="bottom"/>
          </w:tcPr>
          <w:p>
            <w:pPr>
              <w:spacing w:after="0"/>
              <w:rPr>
                <w:sz w:val="22"/>
                <w:szCs w:val="22"/>
                <w:color w:val="auto"/>
              </w:rPr>
            </w:pPr>
          </w:p>
        </w:tc>
      </w:tr>
      <w:tr>
        <w:trPr>
          <w:trHeight w:val="170"/>
        </w:trPr>
        <w:tc>
          <w:tcPr>
            <w:tcW w:w="3940" w:type="dxa"/>
            <w:vAlign w:val="bottom"/>
          </w:tcPr>
          <w:p>
            <w:pPr>
              <w:spacing w:after="0"/>
              <w:rPr>
                <w:sz w:val="14"/>
                <w:szCs w:val="14"/>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b w:val="1"/>
                <w:bCs w:val="1"/>
                <w:color w:val="auto"/>
                <w:w w:val="98"/>
              </w:rPr>
              <w:t>Phoenix, Arizona 85008</w:t>
            </w:r>
          </w:p>
        </w:tc>
        <w:tc>
          <w:tcPr>
            <w:tcW w:w="3720" w:type="dxa"/>
            <w:vAlign w:val="bottom"/>
          </w:tcPr>
          <w:p>
            <w:pPr>
              <w:spacing w:after="0"/>
              <w:rPr>
                <w:sz w:val="14"/>
                <w:szCs w:val="14"/>
                <w:color w:val="auto"/>
              </w:rPr>
            </w:pPr>
          </w:p>
        </w:tc>
      </w:tr>
      <w:tr>
        <w:trPr>
          <w:trHeight w:val="180"/>
        </w:trPr>
        <w:tc>
          <w:tcPr>
            <w:tcW w:w="7520" w:type="dxa"/>
            <w:vAlign w:val="bottom"/>
            <w:gridSpan w:val="2"/>
          </w:tcPr>
          <w:p>
            <w:pPr>
              <w:jc w:val="center"/>
              <w:ind w:left="3651"/>
              <w:spacing w:after="0"/>
              <w:rPr>
                <w:sz w:val="20"/>
                <w:szCs w:val="20"/>
                <w:color w:val="auto"/>
              </w:rPr>
            </w:pPr>
            <w:r>
              <w:rPr>
                <w:rFonts w:ascii="Arial" w:cs="Arial" w:eastAsia="Arial" w:hAnsi="Arial"/>
                <w:sz w:val="14"/>
                <w:szCs w:val="14"/>
                <w:color w:val="auto"/>
                <w:w w:val="98"/>
              </w:rPr>
              <w:t>(Address of principal executive offices, including zip code)</w:t>
            </w:r>
          </w:p>
        </w:tc>
        <w:tc>
          <w:tcPr>
            <w:tcW w:w="3720" w:type="dxa"/>
            <w:vAlign w:val="bottom"/>
          </w:tcPr>
          <w:p>
            <w:pPr>
              <w:spacing w:after="0"/>
              <w:rPr>
                <w:sz w:val="15"/>
                <w:szCs w:val="15"/>
                <w:color w:val="auto"/>
              </w:rPr>
            </w:pPr>
          </w:p>
        </w:tc>
      </w:tr>
      <w:tr>
        <w:trPr>
          <w:trHeight w:val="374"/>
        </w:trPr>
        <w:tc>
          <w:tcPr>
            <w:tcW w:w="3940" w:type="dxa"/>
            <w:vAlign w:val="bottom"/>
          </w:tcPr>
          <w:p>
            <w:pPr>
              <w:spacing w:after="0"/>
              <w:rPr>
                <w:sz w:val="24"/>
                <w:szCs w:val="24"/>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b w:val="1"/>
                <w:bCs w:val="1"/>
                <w:color w:val="auto"/>
                <w:w w:val="98"/>
              </w:rPr>
              <w:t>(480) 894-6311</w:t>
            </w:r>
          </w:p>
        </w:tc>
        <w:tc>
          <w:tcPr>
            <w:tcW w:w="3720" w:type="dxa"/>
            <w:vAlign w:val="bottom"/>
          </w:tcPr>
          <w:p>
            <w:pPr>
              <w:spacing w:after="0"/>
              <w:rPr>
                <w:sz w:val="24"/>
                <w:szCs w:val="24"/>
                <w:color w:val="auto"/>
              </w:rPr>
            </w:pPr>
          </w:p>
        </w:tc>
      </w:tr>
      <w:tr>
        <w:trPr>
          <w:trHeight w:val="180"/>
        </w:trPr>
        <w:tc>
          <w:tcPr>
            <w:tcW w:w="3940" w:type="dxa"/>
            <w:vAlign w:val="bottom"/>
          </w:tcPr>
          <w:p>
            <w:pPr>
              <w:spacing w:after="0"/>
              <w:rPr>
                <w:sz w:val="15"/>
                <w:szCs w:val="15"/>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color w:val="auto"/>
                <w:w w:val="97"/>
              </w:rPr>
              <w:t>(Registrant’s telephone number, including area code)</w:t>
            </w:r>
          </w:p>
        </w:tc>
        <w:tc>
          <w:tcPr>
            <w:tcW w:w="3720" w:type="dxa"/>
            <w:vAlign w:val="bottom"/>
          </w:tcPr>
          <w:p>
            <w:pPr>
              <w:spacing w:after="0"/>
              <w:rPr>
                <w:sz w:val="15"/>
                <w:szCs w:val="15"/>
                <w:color w:val="auto"/>
              </w:rPr>
            </w:pPr>
          </w:p>
        </w:tc>
      </w:tr>
      <w:tr>
        <w:trPr>
          <w:trHeight w:val="735"/>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3"/>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580" w:type="dxa"/>
            <w:vAlign w:val="bottom"/>
            <w:tcBorders>
              <w:bottom w:val="single" w:sz="8" w:color="auto"/>
            </w:tcBorders>
          </w:tcPr>
          <w:p>
            <w:pPr>
              <w:jc w:val="center"/>
              <w:ind w:left="431"/>
              <w:spacing w:after="0"/>
              <w:rPr>
                <w:sz w:val="20"/>
                <w:szCs w:val="20"/>
                <w:color w:val="auto"/>
              </w:rPr>
            </w:pPr>
            <w:r>
              <w:rPr>
                <w:rFonts w:ascii="Arial" w:cs="Arial" w:eastAsia="Arial" w:hAnsi="Arial"/>
                <w:sz w:val="14"/>
                <w:szCs w:val="14"/>
                <w:b w:val="1"/>
                <w:bCs w:val="1"/>
                <w:color w:val="auto"/>
                <w:w w:val="97"/>
              </w:rPr>
              <w:t>Trading Symbol(s)</w:t>
            </w:r>
          </w:p>
        </w:tc>
        <w:tc>
          <w:tcPr>
            <w:tcW w:w="372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79"/>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580" w:type="dxa"/>
            <w:vAlign w:val="bottom"/>
          </w:tcPr>
          <w:p>
            <w:pPr>
              <w:jc w:val="center"/>
              <w:ind w:left="431"/>
              <w:spacing w:after="0"/>
              <w:rPr>
                <w:sz w:val="20"/>
                <w:szCs w:val="20"/>
                <w:color w:val="auto"/>
              </w:rPr>
            </w:pPr>
            <w:r>
              <w:rPr>
                <w:rFonts w:ascii="Arial" w:cs="Arial" w:eastAsia="Arial" w:hAnsi="Arial"/>
                <w:sz w:val="14"/>
                <w:szCs w:val="14"/>
                <w:color w:val="auto"/>
                <w:w w:val="97"/>
              </w:rPr>
              <w:t>WSC</w:t>
            </w:r>
          </w:p>
        </w:tc>
        <w:tc>
          <w:tcPr>
            <w:tcW w:w="3720" w:type="dxa"/>
            <w:vAlign w:val="bottom"/>
          </w:tcPr>
          <w:p>
            <w:pPr>
              <w:jc w:val="center"/>
              <w:ind w:right="511"/>
              <w:spacing w:after="0"/>
              <w:rPr>
                <w:sz w:val="20"/>
                <w:szCs w:val="20"/>
                <w:color w:val="auto"/>
              </w:rPr>
            </w:pPr>
            <w:r>
              <w:rPr>
                <w:rFonts w:ascii="Arial" w:cs="Arial" w:eastAsia="Arial" w:hAnsi="Arial"/>
                <w:sz w:val="14"/>
                <w:szCs w:val="14"/>
                <w:color w:val="auto"/>
                <w:w w:val="97"/>
              </w:rPr>
              <w:t>The Nasdaq Capital Market</w:t>
            </w:r>
          </w:p>
        </w:tc>
      </w:tr>
      <w:tr>
        <w:trPr>
          <w:trHeight w:val="247"/>
        </w:trPr>
        <w:tc>
          <w:tcPr>
            <w:tcW w:w="3940" w:type="dxa"/>
            <w:vAlign w:val="bottom"/>
          </w:tcPr>
          <w:p>
            <w:pPr>
              <w:jc w:val="center"/>
              <w:ind w:left="991"/>
              <w:spacing w:after="0"/>
              <w:rPr>
                <w:sz w:val="20"/>
                <w:szCs w:val="20"/>
                <w:color w:val="auto"/>
              </w:rPr>
            </w:pPr>
            <w:r>
              <w:rPr>
                <w:rFonts w:ascii="Arial" w:cs="Arial" w:eastAsia="Arial" w:hAnsi="Arial"/>
                <w:sz w:val="14"/>
                <w:szCs w:val="14"/>
                <w:color w:val="auto"/>
                <w:w w:val="97"/>
              </w:rPr>
              <w:t>Warrants to purchase Common Stock</w:t>
            </w:r>
            <w:r>
              <w:rPr>
                <w:rFonts w:ascii="Arial" w:cs="Arial" w:eastAsia="Arial" w:hAnsi="Arial"/>
                <w:sz w:val="17"/>
                <w:szCs w:val="17"/>
                <w:color w:val="auto"/>
                <w:w w:val="97"/>
                <w:vertAlign w:val="superscript"/>
              </w:rPr>
              <w:t>(1)</w:t>
            </w:r>
          </w:p>
        </w:tc>
        <w:tc>
          <w:tcPr>
            <w:tcW w:w="3580" w:type="dxa"/>
            <w:vAlign w:val="bottom"/>
          </w:tcPr>
          <w:p>
            <w:pPr>
              <w:jc w:val="center"/>
              <w:ind w:left="411"/>
              <w:spacing w:after="0"/>
              <w:rPr>
                <w:sz w:val="20"/>
                <w:szCs w:val="20"/>
                <w:color w:val="auto"/>
              </w:rPr>
            </w:pPr>
            <w:r>
              <w:rPr>
                <w:rFonts w:ascii="Arial" w:cs="Arial" w:eastAsia="Arial" w:hAnsi="Arial"/>
                <w:sz w:val="14"/>
                <w:szCs w:val="14"/>
                <w:color w:val="auto"/>
                <w:w w:val="99"/>
              </w:rPr>
              <w:t>WSCTW</w:t>
            </w:r>
          </w:p>
        </w:tc>
        <w:tc>
          <w:tcPr>
            <w:tcW w:w="3720" w:type="dxa"/>
            <w:vAlign w:val="bottom"/>
          </w:tcPr>
          <w:p>
            <w:pPr>
              <w:jc w:val="center"/>
              <w:ind w:right="511"/>
              <w:spacing w:after="0"/>
              <w:rPr>
                <w:sz w:val="20"/>
                <w:szCs w:val="20"/>
                <w:color w:val="auto"/>
              </w:rPr>
            </w:pPr>
            <w:r>
              <w:rPr>
                <w:rFonts w:ascii="Arial" w:cs="Arial" w:eastAsia="Arial" w:hAnsi="Arial"/>
                <w:sz w:val="14"/>
                <w:szCs w:val="14"/>
                <w:color w:val="auto"/>
                <w:w w:val="98"/>
              </w:rPr>
              <w:t>OTC Markets Group Inc.</w:t>
            </w:r>
          </w:p>
        </w:tc>
      </w:tr>
    </w:tbl>
    <w:p>
      <w:pPr>
        <w:spacing w:after="0" w:line="75" w:lineRule="exact"/>
        <w:rPr>
          <w:sz w:val="24"/>
          <w:szCs w:val="24"/>
          <w:color w:val="auto"/>
        </w:rPr>
      </w:pPr>
    </w:p>
    <w:p>
      <w:pPr>
        <w:ind w:firstLine="622"/>
        <w:spacing w:after="0" w:line="278" w:lineRule="auto"/>
        <w:tabs>
          <w:tab w:leader="none" w:pos="767" w:val="left"/>
        </w:tabs>
        <w:numPr>
          <w:ilvl w:val="0"/>
          <w:numId w:val="3"/>
        </w:numPr>
        <w:rPr>
          <w:rFonts w:ascii="Arial" w:cs="Arial" w:eastAsia="Arial" w:hAnsi="Arial"/>
          <w:sz w:val="9"/>
          <w:szCs w:val="9"/>
          <w:color w:val="auto"/>
        </w:rPr>
      </w:pPr>
      <w:r>
        <w:rPr>
          <w:rFonts w:ascii="Arial" w:cs="Arial" w:eastAsia="Arial" w:hAnsi="Arial"/>
          <w:sz w:val="14"/>
          <w:szCs w:val="14"/>
          <w:color w:val="auto"/>
        </w:rPr>
        <w:t>Issued in connection with the registrant's acquisition of Modular Space Holding, Inc. in August 2018, which are exercisable for one share of the registrant's common stock at an exercise price of $15.50 per share.</w:t>
      </w:r>
    </w:p>
    <w:p>
      <w:pPr>
        <w:spacing w:after="0" w:line="104" w:lineRule="exact"/>
        <w:rPr>
          <w:sz w:val="24"/>
          <w:szCs w:val="24"/>
          <w:color w:val="auto"/>
        </w:rPr>
      </w:pPr>
    </w:p>
    <w:p>
      <w:pPr>
        <w:ind w:firstLine="619"/>
        <w:spacing w:after="0" w:line="18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1" w:lineRule="exact"/>
        <w:rPr>
          <w:sz w:val="24"/>
          <w:szCs w:val="24"/>
          <w:color w:val="auto"/>
        </w:rPr>
      </w:pPr>
    </w:p>
    <w:p>
      <w:pPr>
        <w:ind w:firstLine="619"/>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5" w:right="339" w:bottom="1440" w:gutter="0" w:footer="0" w:header="0"/>
        </w:sectPr>
      </w:pPr>
    </w:p>
    <w:p>
      <w:pPr>
        <w:spacing w:after="0" w:line="29"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6" w:lineRule="exact"/>
        <w:rPr>
          <w:sz w:val="24"/>
          <w:szCs w:val="24"/>
          <w:color w:val="auto"/>
        </w:rPr>
      </w:pPr>
    </w:p>
    <w:p>
      <w:pPr>
        <w:sectPr>
          <w:pgSz w:w="11900" w:h="16838" w:orient="portrait"/>
          <w:cols w:equalWidth="0" w:num="2">
            <w:col w:w="5540" w:space="720"/>
            <w:col w:w="4980"/>
          </w:cols>
          <w:pgMar w:left="320" w:top="925"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7" w:lineRule="exact"/>
        <w:rPr>
          <w:sz w:val="24"/>
          <w:szCs w:val="24"/>
          <w:color w:val="auto"/>
        </w:rPr>
      </w:pPr>
    </w:p>
    <w:p>
      <w:pPr>
        <w:sectPr>
          <w:pgSz w:w="11900" w:h="16838" w:orient="portrait"/>
          <w:cols w:equalWidth="0" w:num="2">
            <w:col w:w="5540" w:space="720"/>
            <w:col w:w="4980"/>
          </w:cols>
          <w:pgMar w:left="320" w:top="925"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25" w:right="339" w:bottom="1440" w:gutter="0" w:footer="0" w:header="0"/>
          <w:type w:val="continuous"/>
        </w:sectPr>
      </w:pPr>
    </w:p>
    <w:p>
      <w:pPr>
        <w:spacing w:after="0" w:line="187" w:lineRule="exact"/>
        <w:rPr>
          <w:sz w:val="24"/>
          <w:szCs w:val="24"/>
          <w:color w:val="auto"/>
        </w:rPr>
      </w:pPr>
    </w:p>
    <w:p>
      <w:pPr>
        <w:ind w:firstLine="6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 w:lineRule="exact"/>
        <w:rPr>
          <w:sz w:val="24"/>
          <w:szCs w:val="24"/>
          <w:color w:val="auto"/>
        </w:rPr>
      </w:pPr>
    </w:p>
    <w:p>
      <w:pPr>
        <w:ind w:left="620" w:right="3600"/>
        <w:spacing w:after="0" w:line="21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Shares of Common Stock, par value $0.0001 per share, outstanding: 208,889,811 shares at 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892810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237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3"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September 30, 2022 and December 31, 2021</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Operations for the Three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Comprehensive Income for the Three and Nine Months Ended September 30, 2022 and 2021</w:t>
      </w:r>
    </w:p>
    <w:p>
      <w:pPr>
        <w:spacing w:after="0" w:line="201" w:lineRule="exact"/>
        <w:rPr>
          <w:sz w:val="20"/>
          <w:szCs w:val="20"/>
          <w:color w:val="auto"/>
        </w:rPr>
      </w:pPr>
    </w:p>
    <w:p>
      <w:pPr>
        <w:ind w:left="1600" w:right="840"/>
        <w:spacing w:after="0" w:line="330" w:lineRule="auto"/>
        <w:rPr>
          <w:sz w:val="20"/>
          <w:szCs w:val="20"/>
          <w:color w:val="auto"/>
        </w:rPr>
      </w:pPr>
      <w:r>
        <w:rPr>
          <w:rFonts w:ascii="Arial" w:cs="Arial" w:eastAsia="Arial" w:hAnsi="Arial"/>
          <w:sz w:val="15"/>
          <w:szCs w:val="15"/>
          <w:color w:val="auto"/>
        </w:rPr>
        <w:t>Condensed Consolidated Statements of Changes in Equity for the Three and Nine Months Ended September 30, 2022 and 2021 Condensed Consolidated Statements of Cash Flows for the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138670" cy="23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01"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Item 1</w:t>
            </w:r>
          </w:p>
        </w:tc>
        <w:tc>
          <w:tcPr>
            <w:tcW w:w="10120" w:type="dxa"/>
            <w:vAlign w:val="bottom"/>
            <w:shd w:val="clear" w:color="auto" w:fill="DBDBDB"/>
          </w:tcPr>
          <w:p>
            <w:pPr>
              <w:ind w:left="140"/>
              <w:spacing w:after="0"/>
              <w:rPr>
                <w:sz w:val="20"/>
                <w:szCs w:val="20"/>
                <w:color w:val="auto"/>
              </w:rPr>
            </w:pPr>
            <w:r>
              <w:rPr>
                <w:rFonts w:ascii="Arial" w:cs="Arial" w:eastAsia="Arial" w:hAnsi="Arial"/>
                <w:sz w:val="15"/>
                <w:szCs w:val="15"/>
                <w:color w:val="auto"/>
              </w:rPr>
              <w:t>Legal Proceedings</w:t>
            </w:r>
          </w:p>
        </w:tc>
      </w:tr>
      <w:tr>
        <w:trPr>
          <w:trHeight w:val="150"/>
        </w:trPr>
        <w:tc>
          <w:tcPr>
            <w:tcW w:w="1120" w:type="dxa"/>
            <w:vAlign w:val="bottom"/>
            <w:shd w:val="clear" w:color="auto" w:fill="DBDBDB"/>
          </w:tcPr>
          <w:p>
            <w:pPr>
              <w:spacing w:after="0"/>
              <w:rPr>
                <w:sz w:val="13"/>
                <w:szCs w:val="13"/>
                <w:color w:val="auto"/>
              </w:rPr>
            </w:pPr>
          </w:p>
        </w:tc>
        <w:tc>
          <w:tcPr>
            <w:tcW w:w="10120" w:type="dxa"/>
            <w:vAlign w:val="bottom"/>
            <w:shd w:val="clear" w:color="auto" w:fill="DBDBDB"/>
          </w:tcPr>
          <w:p>
            <w:pPr>
              <w:spacing w:after="0"/>
              <w:rPr>
                <w:sz w:val="13"/>
                <w:szCs w:val="13"/>
                <w:color w:val="auto"/>
              </w:rPr>
            </w:pPr>
          </w:p>
        </w:tc>
      </w:tr>
      <w:tr>
        <w:trPr>
          <w:trHeight w:val="205"/>
        </w:trPr>
        <w:tc>
          <w:tcPr>
            <w:tcW w:w="1120" w:type="dxa"/>
            <w:vAlign w:val="bottom"/>
          </w:tcPr>
          <w:p>
            <w:pPr>
              <w:ind w:left="440"/>
              <w:spacing w:after="0"/>
              <w:rPr>
                <w:sz w:val="20"/>
                <w:szCs w:val="20"/>
                <w:color w:val="auto"/>
              </w:rPr>
            </w:pPr>
            <w:r>
              <w:rPr>
                <w:rFonts w:ascii="Arial" w:cs="Arial" w:eastAsia="Arial" w:hAnsi="Arial"/>
                <w:sz w:val="15"/>
                <w:szCs w:val="15"/>
                <w:color w:val="auto"/>
              </w:rPr>
              <w:t>Item 1A</w:t>
            </w:r>
          </w:p>
        </w:tc>
        <w:tc>
          <w:tcPr>
            <w:tcW w:w="10120" w:type="dxa"/>
            <w:vAlign w:val="bottom"/>
          </w:tcPr>
          <w:p>
            <w:pPr>
              <w:ind w:left="140"/>
              <w:spacing w:after="0"/>
              <w:rPr>
                <w:sz w:val="20"/>
                <w:szCs w:val="20"/>
                <w:color w:val="auto"/>
              </w:rPr>
            </w:pPr>
            <w:r>
              <w:rPr>
                <w:rFonts w:ascii="Arial" w:cs="Arial" w:eastAsia="Arial" w:hAnsi="Arial"/>
                <w:sz w:val="15"/>
                <w:szCs w:val="15"/>
                <w:color w:val="auto"/>
              </w:rPr>
              <w:t>Risk Factors</w:t>
            </w:r>
          </w:p>
        </w:tc>
      </w:tr>
      <w:tr>
        <w:trPr>
          <w:trHeight w:val="169"/>
        </w:trPr>
        <w:tc>
          <w:tcPr>
            <w:tcW w:w="1120" w:type="dxa"/>
            <w:vAlign w:val="bottom"/>
          </w:tcPr>
          <w:p>
            <w:pPr>
              <w:spacing w:after="0"/>
              <w:rPr>
                <w:sz w:val="14"/>
                <w:szCs w:val="14"/>
                <w:color w:val="auto"/>
              </w:rPr>
            </w:pPr>
          </w:p>
        </w:tc>
        <w:tc>
          <w:tcPr>
            <w:tcW w:w="10120" w:type="dxa"/>
            <w:vAlign w:val="bottom"/>
          </w:tcPr>
          <w:p>
            <w:pPr>
              <w:spacing w:after="0"/>
              <w:rPr>
                <w:sz w:val="14"/>
                <w:szCs w:val="14"/>
                <w:color w:val="auto"/>
              </w:rPr>
            </w:pPr>
          </w:p>
        </w:tc>
      </w:tr>
      <w:tr>
        <w:trPr>
          <w:trHeight w:val="205"/>
        </w:trPr>
        <w:tc>
          <w:tcPr>
            <w:tcW w:w="11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Item 2</w:t>
            </w:r>
          </w:p>
        </w:tc>
        <w:tc>
          <w:tcPr>
            <w:tcW w:w="10120" w:type="dxa"/>
            <w:vAlign w:val="bottom"/>
            <w:shd w:val="clear" w:color="auto" w:fill="DBDBDB"/>
          </w:tcPr>
          <w:p>
            <w:pPr>
              <w:ind w:left="14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69"/>
        </w:trPr>
        <w:tc>
          <w:tcPr>
            <w:tcW w:w="1120" w:type="dxa"/>
            <w:vAlign w:val="bottom"/>
            <w:shd w:val="clear" w:color="auto" w:fill="DBDBDB"/>
          </w:tcPr>
          <w:p>
            <w:pPr>
              <w:spacing w:after="0"/>
              <w:rPr>
                <w:sz w:val="14"/>
                <w:szCs w:val="14"/>
                <w:color w:val="auto"/>
              </w:rPr>
            </w:pPr>
          </w:p>
        </w:tc>
        <w:tc>
          <w:tcPr>
            <w:tcW w:w="10120" w:type="dxa"/>
            <w:vAlign w:val="bottom"/>
            <w:shd w:val="clear" w:color="auto" w:fill="DBDBDB"/>
          </w:tcPr>
          <w:p>
            <w:pPr>
              <w:spacing w:after="0"/>
              <w:rPr>
                <w:sz w:val="14"/>
                <w:szCs w:val="14"/>
                <w:color w:val="auto"/>
              </w:rPr>
            </w:pPr>
          </w:p>
        </w:tc>
      </w:tr>
      <w:tr>
        <w:trPr>
          <w:trHeight w:val="205"/>
        </w:trPr>
        <w:tc>
          <w:tcPr>
            <w:tcW w:w="1120" w:type="dxa"/>
            <w:vAlign w:val="bottom"/>
          </w:tcPr>
          <w:p>
            <w:pPr>
              <w:ind w:left="440"/>
              <w:spacing w:after="0"/>
              <w:rPr>
                <w:sz w:val="20"/>
                <w:szCs w:val="20"/>
                <w:color w:val="auto"/>
              </w:rPr>
            </w:pPr>
            <w:r>
              <w:rPr>
                <w:rFonts w:ascii="Arial" w:cs="Arial" w:eastAsia="Arial" w:hAnsi="Arial"/>
                <w:sz w:val="15"/>
                <w:szCs w:val="15"/>
                <w:color w:val="auto"/>
              </w:rPr>
              <w:t>Item 3</w:t>
            </w:r>
          </w:p>
        </w:tc>
        <w:tc>
          <w:tcPr>
            <w:tcW w:w="10120" w:type="dxa"/>
            <w:vAlign w:val="bottom"/>
          </w:tcPr>
          <w:p>
            <w:pPr>
              <w:ind w:left="140"/>
              <w:spacing w:after="0"/>
              <w:rPr>
                <w:sz w:val="20"/>
                <w:szCs w:val="20"/>
                <w:color w:val="auto"/>
              </w:rPr>
            </w:pPr>
            <w:r>
              <w:rPr>
                <w:rFonts w:ascii="Arial" w:cs="Arial" w:eastAsia="Arial" w:hAnsi="Arial"/>
                <w:sz w:val="15"/>
                <w:szCs w:val="15"/>
                <w:color w:val="auto"/>
              </w:rPr>
              <w:t>Defaults Upon Senior Securities</w:t>
            </w:r>
          </w:p>
        </w:tc>
      </w:tr>
      <w:tr>
        <w:trPr>
          <w:trHeight w:val="169"/>
        </w:trPr>
        <w:tc>
          <w:tcPr>
            <w:tcW w:w="1120" w:type="dxa"/>
            <w:vAlign w:val="bottom"/>
          </w:tcPr>
          <w:p>
            <w:pPr>
              <w:spacing w:after="0"/>
              <w:rPr>
                <w:sz w:val="14"/>
                <w:szCs w:val="14"/>
                <w:color w:val="auto"/>
              </w:rPr>
            </w:pPr>
          </w:p>
        </w:tc>
        <w:tc>
          <w:tcPr>
            <w:tcW w:w="10120" w:type="dxa"/>
            <w:vAlign w:val="bottom"/>
          </w:tcPr>
          <w:p>
            <w:pPr>
              <w:spacing w:after="0"/>
              <w:rPr>
                <w:sz w:val="14"/>
                <w:szCs w:val="14"/>
                <w:color w:val="auto"/>
              </w:rPr>
            </w:pPr>
          </w:p>
        </w:tc>
      </w:tr>
      <w:tr>
        <w:trPr>
          <w:trHeight w:val="205"/>
        </w:trPr>
        <w:tc>
          <w:tcPr>
            <w:tcW w:w="11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Item 4</w:t>
            </w:r>
          </w:p>
        </w:tc>
        <w:tc>
          <w:tcPr>
            <w:tcW w:w="10120" w:type="dxa"/>
            <w:vAlign w:val="bottom"/>
            <w:shd w:val="clear" w:color="auto" w:fill="DBDBDB"/>
          </w:tcPr>
          <w:p>
            <w:pPr>
              <w:ind w:left="140"/>
              <w:spacing w:after="0"/>
              <w:rPr>
                <w:sz w:val="20"/>
                <w:szCs w:val="20"/>
                <w:color w:val="auto"/>
              </w:rPr>
            </w:pPr>
            <w:r>
              <w:rPr>
                <w:rFonts w:ascii="Arial" w:cs="Arial" w:eastAsia="Arial" w:hAnsi="Arial"/>
                <w:sz w:val="15"/>
                <w:szCs w:val="15"/>
                <w:color w:val="auto"/>
              </w:rPr>
              <w:t>Mine Safety Disclosures</w:t>
            </w:r>
          </w:p>
        </w:tc>
      </w:tr>
      <w:tr>
        <w:trPr>
          <w:trHeight w:val="169"/>
        </w:trPr>
        <w:tc>
          <w:tcPr>
            <w:tcW w:w="1120" w:type="dxa"/>
            <w:vAlign w:val="bottom"/>
            <w:shd w:val="clear" w:color="auto" w:fill="DBDBDB"/>
          </w:tcPr>
          <w:p>
            <w:pPr>
              <w:spacing w:after="0"/>
              <w:rPr>
                <w:sz w:val="14"/>
                <w:szCs w:val="14"/>
                <w:color w:val="auto"/>
              </w:rPr>
            </w:pPr>
          </w:p>
        </w:tc>
        <w:tc>
          <w:tcPr>
            <w:tcW w:w="10120" w:type="dxa"/>
            <w:vAlign w:val="bottom"/>
            <w:shd w:val="clear" w:color="auto" w:fill="DBDBDB"/>
          </w:tcPr>
          <w:p>
            <w:pPr>
              <w:spacing w:after="0"/>
              <w:rPr>
                <w:sz w:val="14"/>
                <w:szCs w:val="14"/>
                <w:color w:val="auto"/>
              </w:rPr>
            </w:pPr>
          </w:p>
        </w:tc>
      </w:tr>
      <w:tr>
        <w:trPr>
          <w:trHeight w:val="205"/>
        </w:trPr>
        <w:tc>
          <w:tcPr>
            <w:tcW w:w="1120" w:type="dxa"/>
            <w:vAlign w:val="bottom"/>
          </w:tcPr>
          <w:p>
            <w:pPr>
              <w:ind w:left="440"/>
              <w:spacing w:after="0"/>
              <w:rPr>
                <w:sz w:val="20"/>
                <w:szCs w:val="20"/>
                <w:color w:val="auto"/>
              </w:rPr>
            </w:pPr>
            <w:r>
              <w:rPr>
                <w:rFonts w:ascii="Arial" w:cs="Arial" w:eastAsia="Arial" w:hAnsi="Arial"/>
                <w:sz w:val="15"/>
                <w:szCs w:val="15"/>
                <w:color w:val="auto"/>
              </w:rPr>
              <w:t>Item 5</w:t>
            </w:r>
          </w:p>
        </w:tc>
        <w:tc>
          <w:tcPr>
            <w:tcW w:w="10120" w:type="dxa"/>
            <w:vAlign w:val="bottom"/>
          </w:tcPr>
          <w:p>
            <w:pPr>
              <w:ind w:left="140"/>
              <w:spacing w:after="0"/>
              <w:rPr>
                <w:sz w:val="20"/>
                <w:szCs w:val="20"/>
                <w:color w:val="auto"/>
              </w:rPr>
            </w:pPr>
            <w:r>
              <w:rPr>
                <w:rFonts w:ascii="Arial" w:cs="Arial" w:eastAsia="Arial" w:hAnsi="Arial"/>
                <w:sz w:val="15"/>
                <w:szCs w:val="15"/>
                <w:color w:val="auto"/>
              </w:rPr>
              <w:t>Other Information</w:t>
            </w:r>
          </w:p>
        </w:tc>
      </w:tr>
      <w:tr>
        <w:trPr>
          <w:trHeight w:val="169"/>
        </w:trPr>
        <w:tc>
          <w:tcPr>
            <w:tcW w:w="1120" w:type="dxa"/>
            <w:vAlign w:val="bottom"/>
          </w:tcPr>
          <w:p>
            <w:pPr>
              <w:spacing w:after="0"/>
              <w:rPr>
                <w:sz w:val="14"/>
                <w:szCs w:val="14"/>
                <w:color w:val="auto"/>
              </w:rPr>
            </w:pPr>
          </w:p>
        </w:tc>
        <w:tc>
          <w:tcPr>
            <w:tcW w:w="10120" w:type="dxa"/>
            <w:vAlign w:val="bottom"/>
          </w:tcPr>
          <w:p>
            <w:pPr>
              <w:spacing w:after="0"/>
              <w:rPr>
                <w:sz w:val="14"/>
                <w:szCs w:val="14"/>
                <w:color w:val="auto"/>
              </w:rPr>
            </w:pPr>
          </w:p>
        </w:tc>
      </w:tr>
      <w:tr>
        <w:trPr>
          <w:trHeight w:val="205"/>
        </w:trPr>
        <w:tc>
          <w:tcPr>
            <w:tcW w:w="11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Item 6</w:t>
            </w:r>
          </w:p>
        </w:tc>
        <w:tc>
          <w:tcPr>
            <w:tcW w:w="10120" w:type="dxa"/>
            <w:vAlign w:val="bottom"/>
            <w:shd w:val="clear" w:color="auto" w:fill="DBDBDB"/>
          </w:tcPr>
          <w:p>
            <w:pPr>
              <w:ind w:left="140"/>
              <w:spacing w:after="0"/>
              <w:rPr>
                <w:sz w:val="20"/>
                <w:szCs w:val="20"/>
                <w:color w:val="auto"/>
              </w:rPr>
            </w:pPr>
            <w:r>
              <w:rPr>
                <w:rFonts w:ascii="Arial" w:cs="Arial" w:eastAsia="Arial" w:hAnsi="Arial"/>
                <w:sz w:val="15"/>
                <w:szCs w:val="15"/>
                <w:color w:val="auto"/>
              </w:rPr>
              <w:t>Exhibits</w:t>
            </w:r>
          </w:p>
        </w:tc>
      </w:tr>
      <w:tr>
        <w:trPr>
          <w:trHeight w:val="169"/>
        </w:trPr>
        <w:tc>
          <w:tcPr>
            <w:tcW w:w="1120" w:type="dxa"/>
            <w:vAlign w:val="bottom"/>
            <w:shd w:val="clear" w:color="auto" w:fill="DBDBDB"/>
          </w:tcPr>
          <w:p>
            <w:pPr>
              <w:spacing w:after="0"/>
              <w:rPr>
                <w:sz w:val="14"/>
                <w:szCs w:val="14"/>
                <w:color w:val="auto"/>
              </w:rPr>
            </w:pPr>
          </w:p>
        </w:tc>
        <w:tc>
          <w:tcPr>
            <w:tcW w:w="10120" w:type="dxa"/>
            <w:vAlign w:val="bottom"/>
            <w:shd w:val="clear" w:color="auto" w:fill="DBDBDB"/>
          </w:tcPr>
          <w:p>
            <w:pPr>
              <w:spacing w:after="0"/>
              <w:rPr>
                <w:sz w:val="14"/>
                <w:szCs w:val="14"/>
                <w:color w:val="auto"/>
              </w:rPr>
            </w:pPr>
          </w:p>
        </w:tc>
      </w:tr>
      <w:tr>
        <w:trPr>
          <w:trHeight w:val="214"/>
        </w:trPr>
        <w:tc>
          <w:tcPr>
            <w:tcW w:w="112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212725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75"/>
        </w:trPr>
        <w:tc>
          <w:tcPr>
            <w:tcW w:w="1580" w:type="dxa"/>
            <w:vAlign w:val="bottom"/>
          </w:tcPr>
          <w:p>
            <w:pPr>
              <w:spacing w:after="0"/>
              <w:rPr>
                <w:sz w:val="20"/>
                <w:szCs w:val="20"/>
                <w:color w:val="auto"/>
              </w:rPr>
            </w:pPr>
            <w:r>
              <w:rPr>
                <w:rFonts w:ascii="Arial" w:cs="Arial" w:eastAsia="Arial" w:hAnsi="Arial"/>
                <w:sz w:val="34"/>
                <w:szCs w:val="34"/>
                <w:b w:val="1"/>
                <w:bCs w:val="1"/>
                <w:color w:val="auto"/>
              </w:rPr>
              <w:t>ITEM 1.</w:t>
            </w:r>
          </w:p>
        </w:tc>
        <w:tc>
          <w:tcPr>
            <w:tcW w:w="4440" w:type="dxa"/>
            <w:vAlign w:val="bottom"/>
          </w:tcPr>
          <w:p>
            <w:pPr>
              <w:spacing w:after="0"/>
              <w:rPr>
                <w:sz w:val="20"/>
                <w:szCs w:val="20"/>
                <w:color w:val="auto"/>
              </w:rPr>
            </w:pPr>
            <w:r>
              <w:rPr>
                <w:rFonts w:ascii="Arial" w:cs="Arial" w:eastAsia="Arial" w:hAnsi="Arial"/>
                <w:sz w:val="34"/>
                <w:szCs w:val="34"/>
                <w:b w:val="1"/>
                <w:bCs w:val="1"/>
                <w:color w:val="auto"/>
              </w:rPr>
              <w:t>Financial Statements</w:t>
            </w: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7100" w:type="dxa"/>
            <w:vAlign w:val="bottom"/>
            <w:gridSpan w:val="4"/>
          </w:tcPr>
          <w:p>
            <w:pPr>
              <w:jc w:val="center"/>
              <w:ind w:left="868"/>
              <w:spacing w:after="0"/>
              <w:rPr>
                <w:sz w:val="20"/>
                <w:szCs w:val="20"/>
                <w:color w:val="auto"/>
              </w:rPr>
            </w:pPr>
            <w:r>
              <w:rPr>
                <w:rFonts w:ascii="Arial" w:cs="Arial" w:eastAsia="Arial" w:hAnsi="Arial"/>
                <w:sz w:val="22"/>
                <w:szCs w:val="22"/>
                <w:color w:val="1D2758"/>
              </w:rPr>
              <w:t>WillScot Mobile Mini Holdings Corp.</w:t>
            </w: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80" w:type="dxa"/>
            <w:vAlign w:val="bottom"/>
          </w:tcPr>
          <w:p>
            <w:pPr>
              <w:spacing w:after="0"/>
              <w:rPr>
                <w:sz w:val="24"/>
                <w:szCs w:val="24"/>
                <w:color w:val="auto"/>
              </w:rPr>
            </w:pPr>
          </w:p>
        </w:tc>
        <w:tc>
          <w:tcPr>
            <w:tcW w:w="7100" w:type="dxa"/>
            <w:vAlign w:val="bottom"/>
            <w:gridSpan w:val="4"/>
          </w:tcPr>
          <w:p>
            <w:pPr>
              <w:jc w:val="center"/>
              <w:ind w:left="848"/>
              <w:spacing w:after="0"/>
              <w:rPr>
                <w:sz w:val="20"/>
                <w:szCs w:val="20"/>
                <w:color w:val="auto"/>
              </w:rPr>
            </w:pPr>
            <w:r>
              <w:rPr>
                <w:rFonts w:ascii="Arial" w:cs="Arial" w:eastAsia="Arial" w:hAnsi="Arial"/>
                <w:sz w:val="22"/>
                <w:szCs w:val="22"/>
                <w:color w:val="1D2758"/>
              </w:rPr>
              <w:t>Condensed Consolidated Balance Sheets (Unaudited)</w:t>
            </w: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2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340" w:type="dxa"/>
            <w:vAlign w:val="bottom"/>
            <w:shd w:val="clear" w:color="auto" w:fill="1D2758"/>
          </w:tcPr>
          <w:p>
            <w:pPr>
              <w:spacing w:after="0"/>
              <w:rPr>
                <w:sz w:val="24"/>
                <w:szCs w:val="24"/>
                <w:color w:val="auto"/>
              </w:rPr>
            </w:pPr>
          </w:p>
        </w:tc>
        <w:tc>
          <w:tcPr>
            <w:tcW w:w="232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September 30, 2022</w:t>
            </w:r>
          </w:p>
        </w:tc>
        <w:tc>
          <w:tcPr>
            <w:tcW w:w="340" w:type="dxa"/>
            <w:vAlign w:val="bottom"/>
            <w:shd w:val="clear" w:color="auto" w:fill="1D2758"/>
          </w:tcPr>
          <w:p>
            <w:pPr>
              <w:spacing w:after="0"/>
              <w:rPr>
                <w:sz w:val="24"/>
                <w:szCs w:val="24"/>
                <w:color w:val="auto"/>
              </w:rPr>
            </w:pPr>
          </w:p>
        </w:tc>
        <w:tc>
          <w:tcPr>
            <w:tcW w:w="22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97"/>
        </w:trPr>
        <w:tc>
          <w:tcPr>
            <w:tcW w:w="6020" w:type="dxa"/>
            <w:vAlign w:val="bottom"/>
            <w:gridSpan w:val="2"/>
            <w:vMerge w:val="continue"/>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222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22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444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Pr>
          <w:p>
            <w:pPr>
              <w:jc w:val="right"/>
              <w:spacing w:after="0"/>
              <w:rPr>
                <w:sz w:val="20"/>
                <w:szCs w:val="20"/>
                <w:color w:val="auto"/>
              </w:rPr>
            </w:pPr>
            <w:r>
              <w:rPr>
                <w:rFonts w:ascii="Arial" w:cs="Arial" w:eastAsia="Arial" w:hAnsi="Arial"/>
                <w:sz w:val="15"/>
                <w:szCs w:val="15"/>
                <w:color w:val="auto"/>
              </w:rPr>
              <w:t>15,442</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Pr>
          <w:p>
            <w:pPr>
              <w:jc w:val="right"/>
              <w:spacing w:after="0"/>
              <w:rPr>
                <w:sz w:val="20"/>
                <w:szCs w:val="20"/>
                <w:color w:val="auto"/>
              </w:rPr>
            </w:pPr>
            <w:r>
              <w:rPr>
                <w:rFonts w:ascii="Arial" w:cs="Arial" w:eastAsia="Arial" w:hAnsi="Arial"/>
                <w:sz w:val="15"/>
                <w:szCs w:val="15"/>
                <w:color w:val="auto"/>
              </w:rPr>
              <w:t>12,699</w:t>
            </w:r>
          </w:p>
        </w:tc>
        <w:tc>
          <w:tcPr>
            <w:tcW w:w="0" w:type="dxa"/>
            <w:vAlign w:val="bottom"/>
          </w:tcPr>
          <w:p>
            <w:pPr>
              <w:spacing w:after="0"/>
              <w:rPr>
                <w:sz w:val="1"/>
                <w:szCs w:val="1"/>
                <w:color w:val="auto"/>
              </w:rPr>
            </w:pPr>
          </w:p>
        </w:tc>
      </w:tr>
      <w:tr>
        <w:trPr>
          <w:trHeight w:val="156"/>
        </w:trPr>
        <w:tc>
          <w:tcPr>
            <w:tcW w:w="6020" w:type="dxa"/>
            <w:vAlign w:val="bottom"/>
            <w:gridSpan w:val="2"/>
            <w:shd w:val="clear" w:color="auto" w:fill="DDDDDD"/>
          </w:tcPr>
          <w:p>
            <w:pPr>
              <w:ind w:left="220"/>
              <w:spacing w:after="0" w:line="156" w:lineRule="exact"/>
              <w:rPr>
                <w:sz w:val="20"/>
                <w:szCs w:val="20"/>
                <w:color w:val="auto"/>
              </w:rPr>
            </w:pPr>
            <w:r>
              <w:rPr>
                <w:rFonts w:ascii="Arial" w:cs="Arial" w:eastAsia="Arial" w:hAnsi="Arial"/>
                <w:sz w:val="15"/>
                <w:szCs w:val="15"/>
                <w:color w:val="auto"/>
              </w:rPr>
              <w:t>Trade receivables, net of allowances for credit losses of $56,127 and $46,160,</w:t>
            </w:r>
          </w:p>
        </w:tc>
        <w:tc>
          <w:tcPr>
            <w:tcW w:w="340" w:type="dxa"/>
            <w:vAlign w:val="bottom"/>
            <w:shd w:val="clear" w:color="auto" w:fill="DDDDDD"/>
          </w:tcPr>
          <w:p>
            <w:pPr>
              <w:spacing w:after="0"/>
              <w:rPr>
                <w:sz w:val="13"/>
                <w:szCs w:val="13"/>
                <w:color w:val="auto"/>
              </w:rPr>
            </w:pPr>
          </w:p>
        </w:tc>
        <w:tc>
          <w:tcPr>
            <w:tcW w:w="222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439,309</w:t>
            </w:r>
          </w:p>
        </w:tc>
        <w:tc>
          <w:tcPr>
            <w:tcW w:w="10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22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368,856</w:t>
            </w:r>
          </w:p>
        </w:tc>
        <w:tc>
          <w:tcPr>
            <w:tcW w:w="0" w:type="dxa"/>
            <w:vAlign w:val="bottom"/>
          </w:tcPr>
          <w:p>
            <w:pPr>
              <w:spacing w:after="0"/>
              <w:rPr>
                <w:sz w:val="1"/>
                <w:szCs w:val="1"/>
                <w:color w:val="auto"/>
              </w:rPr>
            </w:pPr>
          </w:p>
        </w:tc>
      </w:tr>
      <w:tr>
        <w:trPr>
          <w:trHeight w:val="206"/>
        </w:trPr>
        <w:tc>
          <w:tcPr>
            <w:tcW w:w="1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respectively</w:t>
            </w:r>
          </w:p>
        </w:tc>
        <w:tc>
          <w:tcPr>
            <w:tcW w:w="444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44,873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32,092</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39,691</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36,539</w:t>
            </w:r>
          </w:p>
        </w:tc>
        <w:tc>
          <w:tcPr>
            <w:tcW w:w="0" w:type="dxa"/>
            <w:vAlign w:val="bottom"/>
          </w:tcPr>
          <w:p>
            <w:pPr>
              <w:spacing w:after="0"/>
              <w:rPr>
                <w:sz w:val="1"/>
                <w:szCs w:val="1"/>
                <w:color w:val="auto"/>
              </w:rPr>
            </w:pPr>
          </w:p>
        </w:tc>
      </w:tr>
      <w:tr>
        <w:trPr>
          <w:trHeight w:val="205"/>
        </w:trPr>
        <w:tc>
          <w:tcPr>
            <w:tcW w:w="6020" w:type="dxa"/>
            <w:vAlign w:val="bottom"/>
            <w:tcBorders>
              <w:bottom w:val="single" w:sz="8" w:color="DDDDDD"/>
            </w:tcBorders>
            <w:gridSpan w:val="2"/>
          </w:tcPr>
          <w:p>
            <w:pPr>
              <w:ind w:left="220"/>
              <w:spacing w:after="0"/>
              <w:rPr>
                <w:sz w:val="20"/>
                <w:szCs w:val="20"/>
                <w:color w:val="auto"/>
              </w:rPr>
            </w:pPr>
            <w:r>
              <w:rPr>
                <w:rFonts w:ascii="Arial" w:cs="Arial" w:eastAsia="Arial" w:hAnsi="Arial"/>
                <w:sz w:val="15"/>
                <w:szCs w:val="15"/>
                <w:color w:val="auto"/>
              </w:rPr>
              <w:t>Assets held for sale - current</w:t>
            </w: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951</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32,854</w:t>
            </w:r>
          </w:p>
        </w:tc>
        <w:tc>
          <w:tcPr>
            <w:tcW w:w="0" w:type="dxa"/>
            <w:vAlign w:val="bottom"/>
          </w:tcPr>
          <w:p>
            <w:pPr>
              <w:spacing w:after="0"/>
              <w:rPr>
                <w:sz w:val="1"/>
                <w:szCs w:val="1"/>
                <w:color w:val="auto"/>
              </w:rPr>
            </w:pPr>
          </w:p>
        </w:tc>
      </w:tr>
      <w:tr>
        <w:trPr>
          <w:trHeight w:val="200"/>
        </w:trPr>
        <w:tc>
          <w:tcPr>
            <w:tcW w:w="6020" w:type="dxa"/>
            <w:vAlign w:val="bottom"/>
            <w:gridSpan w:val="2"/>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340" w:type="dxa"/>
            <w:vAlign w:val="bottom"/>
            <w:shd w:val="clear" w:color="auto" w:fill="DDDDDD"/>
          </w:tcPr>
          <w:p>
            <w:pPr>
              <w:spacing w:after="0"/>
              <w:rPr>
                <w:sz w:val="17"/>
                <w:szCs w:val="17"/>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540,266</w:t>
            </w: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483,040</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Rental equipment, net</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3,227,735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2,946,008</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311,526</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282,247</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Operating lease assets</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225,955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235,344</w:t>
            </w:r>
          </w:p>
        </w:tc>
        <w:tc>
          <w:tcPr>
            <w:tcW w:w="0" w:type="dxa"/>
            <w:vAlign w:val="bottom"/>
          </w:tcPr>
          <w:p>
            <w:pPr>
              <w:spacing w:after="0"/>
              <w:rPr>
                <w:sz w:val="1"/>
                <w:szCs w:val="1"/>
                <w:color w:val="auto"/>
              </w:rPr>
            </w:pPr>
          </w:p>
        </w:tc>
      </w:tr>
      <w:tr>
        <w:trPr>
          <w:trHeight w:val="207"/>
        </w:trPr>
        <w:tc>
          <w:tcPr>
            <w:tcW w:w="1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444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1,064,582</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1,078,699</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Intangible assets, net</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431,291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451,928</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8,909</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10,797</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Assets held for sale - non-current</w:t>
            </w:r>
          </w:p>
        </w:tc>
        <w:tc>
          <w:tcPr>
            <w:tcW w:w="340" w:type="dxa"/>
            <w:vAlign w:val="bottom"/>
          </w:tcPr>
          <w:p>
            <w:pPr>
              <w:spacing w:after="0"/>
              <w:rPr>
                <w:sz w:val="17"/>
                <w:szCs w:val="17"/>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285,536</w:t>
            </w:r>
          </w:p>
        </w:tc>
        <w:tc>
          <w:tcPr>
            <w:tcW w:w="0" w:type="dxa"/>
            <w:vAlign w:val="bottom"/>
          </w:tcPr>
          <w:p>
            <w:pPr>
              <w:spacing w:after="0"/>
              <w:rPr>
                <w:sz w:val="1"/>
                <w:szCs w:val="1"/>
                <w:color w:val="auto"/>
              </w:rPr>
            </w:pPr>
          </w:p>
        </w:tc>
      </w:tr>
      <w:tr>
        <w:trPr>
          <w:trHeight w:val="200"/>
        </w:trPr>
        <w:tc>
          <w:tcPr>
            <w:tcW w:w="6020" w:type="dxa"/>
            <w:vAlign w:val="bottom"/>
            <w:tcBorders>
              <w:top w:val="single" w:sz="8" w:color="DDDDDD"/>
            </w:tcBorders>
            <w:gridSpan w:val="2"/>
            <w:shd w:val="clear" w:color="auto" w:fill="DDDDDD"/>
          </w:tcPr>
          <w:p>
            <w:pPr>
              <w:ind w:left="440"/>
              <w:spacing w:after="0"/>
              <w:rPr>
                <w:sz w:val="20"/>
                <w:szCs w:val="20"/>
                <w:color w:val="auto"/>
              </w:rPr>
            </w:pPr>
            <w:r>
              <w:rPr>
                <w:rFonts w:ascii="Arial" w:cs="Arial" w:eastAsia="Arial" w:hAnsi="Arial"/>
                <w:sz w:val="15"/>
                <w:szCs w:val="15"/>
                <w:color w:val="auto"/>
              </w:rPr>
              <w:t>Total long-term assets</w:t>
            </w: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22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5,269,998</w:t>
            </w:r>
          </w:p>
        </w:tc>
        <w:tc>
          <w:tcPr>
            <w:tcW w:w="10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22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5,290,559</w:t>
            </w:r>
          </w:p>
        </w:tc>
        <w:tc>
          <w:tcPr>
            <w:tcW w:w="0" w:type="dxa"/>
            <w:vAlign w:val="bottom"/>
          </w:tcPr>
          <w:p>
            <w:pPr>
              <w:spacing w:after="0"/>
              <w:rPr>
                <w:sz w:val="1"/>
                <w:szCs w:val="1"/>
                <w:color w:val="auto"/>
              </w:rPr>
            </w:pPr>
          </w:p>
        </w:tc>
      </w:tr>
      <w:tr>
        <w:trPr>
          <w:trHeight w:val="198"/>
        </w:trPr>
        <w:tc>
          <w:tcPr>
            <w:tcW w:w="158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444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5,810,264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5,773,599</w:t>
            </w:r>
          </w:p>
        </w:tc>
        <w:tc>
          <w:tcPr>
            <w:tcW w:w="0" w:type="dxa"/>
            <w:vAlign w:val="bottom"/>
          </w:tcPr>
          <w:p>
            <w:pPr>
              <w:spacing w:after="0"/>
              <w:rPr>
                <w:sz w:val="1"/>
                <w:szCs w:val="1"/>
                <w:color w:val="auto"/>
              </w:rPr>
            </w:pPr>
          </w:p>
        </w:tc>
      </w:tr>
      <w:tr>
        <w:trPr>
          <w:trHeight w:val="20"/>
        </w:trPr>
        <w:tc>
          <w:tcPr>
            <w:tcW w:w="1580" w:type="dxa"/>
            <w:vAlign w:val="bottom"/>
            <w:tcBorders>
              <w:bottom w:val="single" w:sz="8" w:color="DDDDDD"/>
            </w:tcBorders>
          </w:tcPr>
          <w:p>
            <w:pPr>
              <w:spacing w:after="0" w:line="20" w:lineRule="exact"/>
              <w:rPr>
                <w:sz w:val="1"/>
                <w:szCs w:val="1"/>
                <w:color w:val="auto"/>
              </w:rPr>
            </w:pPr>
          </w:p>
        </w:tc>
        <w:tc>
          <w:tcPr>
            <w:tcW w:w="444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580" w:type="dxa"/>
            <w:vAlign w:val="bottom"/>
            <w:shd w:val="clear" w:color="auto" w:fill="DDDDDD"/>
          </w:tcPr>
          <w:p>
            <w:pPr>
              <w:ind w:left="20"/>
              <w:spacing w:after="0"/>
              <w:rPr>
                <w:sz w:val="20"/>
                <w:szCs w:val="20"/>
                <w:color w:val="auto"/>
              </w:rPr>
            </w:pPr>
            <w:r>
              <w:rPr>
                <w:rFonts w:ascii="Arial" w:cs="Arial" w:eastAsia="Arial" w:hAnsi="Arial"/>
                <w:sz w:val="15"/>
                <w:szCs w:val="15"/>
                <w:color w:val="auto"/>
              </w:rPr>
              <w:t>Liabilities and equity</w:t>
            </w:r>
          </w:p>
        </w:tc>
        <w:tc>
          <w:tcPr>
            <w:tcW w:w="444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22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22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58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444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Pr>
          <w:p>
            <w:pPr>
              <w:jc w:val="right"/>
              <w:spacing w:after="0"/>
              <w:rPr>
                <w:sz w:val="20"/>
                <w:szCs w:val="20"/>
                <w:color w:val="auto"/>
              </w:rPr>
            </w:pPr>
            <w:r>
              <w:rPr>
                <w:rFonts w:ascii="Arial" w:cs="Arial" w:eastAsia="Arial" w:hAnsi="Arial"/>
                <w:sz w:val="15"/>
                <w:szCs w:val="15"/>
                <w:color w:val="auto"/>
              </w:rPr>
              <w:t>160,262</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Pr>
          <w:p>
            <w:pPr>
              <w:jc w:val="right"/>
              <w:spacing w:after="0"/>
              <w:rPr>
                <w:sz w:val="20"/>
                <w:szCs w:val="20"/>
                <w:color w:val="auto"/>
              </w:rPr>
            </w:pPr>
            <w:r>
              <w:rPr>
                <w:rFonts w:ascii="Arial" w:cs="Arial" w:eastAsia="Arial" w:hAnsi="Arial"/>
                <w:sz w:val="15"/>
                <w:szCs w:val="15"/>
                <w:color w:val="auto"/>
              </w:rPr>
              <w:t>110,270</w:t>
            </w:r>
          </w:p>
        </w:tc>
        <w:tc>
          <w:tcPr>
            <w:tcW w:w="0" w:type="dxa"/>
            <w:vAlign w:val="bottom"/>
          </w:tcPr>
          <w:p>
            <w:pPr>
              <w:spacing w:after="0"/>
              <w:rPr>
                <w:sz w:val="1"/>
                <w:szCs w:val="1"/>
                <w:color w:val="auto"/>
              </w:rPr>
            </w:pPr>
          </w:p>
        </w:tc>
      </w:tr>
      <w:tr>
        <w:trPr>
          <w:trHeight w:val="207"/>
        </w:trPr>
        <w:tc>
          <w:tcPr>
            <w:tcW w:w="1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expenses</w:t>
            </w:r>
          </w:p>
        </w:tc>
        <w:tc>
          <w:tcPr>
            <w:tcW w:w="444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123,300</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95,592</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Accrued employee benefits</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53,477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65,927</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212,005</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159,612</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Operating lease liabilities - current</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51,971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51,103</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Current portion of long-term debt</w:t>
            </w: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13,497</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11,968</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Liabilities held for sale - current</w:t>
            </w:r>
          </w:p>
        </w:tc>
        <w:tc>
          <w:tcPr>
            <w:tcW w:w="340" w:type="dxa"/>
            <w:vAlign w:val="bottom"/>
          </w:tcPr>
          <w:p>
            <w:pPr>
              <w:spacing w:after="0"/>
              <w:rPr>
                <w:sz w:val="17"/>
                <w:szCs w:val="17"/>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23,173</w:t>
            </w:r>
          </w:p>
        </w:tc>
        <w:tc>
          <w:tcPr>
            <w:tcW w:w="0" w:type="dxa"/>
            <w:vAlign w:val="bottom"/>
          </w:tcPr>
          <w:p>
            <w:pPr>
              <w:spacing w:after="0"/>
              <w:rPr>
                <w:sz w:val="1"/>
                <w:szCs w:val="1"/>
                <w:color w:val="auto"/>
              </w:rPr>
            </w:pPr>
          </w:p>
        </w:tc>
      </w:tr>
      <w:tr>
        <w:trPr>
          <w:trHeight w:val="200"/>
        </w:trPr>
        <w:tc>
          <w:tcPr>
            <w:tcW w:w="6020" w:type="dxa"/>
            <w:vAlign w:val="bottom"/>
            <w:tcBorders>
              <w:top w:val="single" w:sz="8" w:color="DDDDDD"/>
            </w:tcBorders>
            <w:gridSpan w:val="2"/>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340" w:type="dxa"/>
            <w:vAlign w:val="bottom"/>
            <w:tcBorders>
              <w:top w:val="single" w:sz="8" w:color="auto"/>
            </w:tcBorders>
            <w:shd w:val="clear" w:color="auto" w:fill="DDDDDD"/>
          </w:tcPr>
          <w:p>
            <w:pPr>
              <w:spacing w:after="0"/>
              <w:rPr>
                <w:sz w:val="17"/>
                <w:szCs w:val="17"/>
                <w:color w:val="auto"/>
              </w:rPr>
            </w:pPr>
          </w:p>
        </w:tc>
        <w:tc>
          <w:tcPr>
            <w:tcW w:w="22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614,512</w:t>
            </w:r>
          </w:p>
        </w:tc>
        <w:tc>
          <w:tcPr>
            <w:tcW w:w="10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tcBorders>
            <w:shd w:val="clear" w:color="auto" w:fill="DDDDDD"/>
          </w:tcPr>
          <w:p>
            <w:pPr>
              <w:spacing w:after="0"/>
              <w:rPr>
                <w:sz w:val="17"/>
                <w:szCs w:val="17"/>
                <w:color w:val="auto"/>
              </w:rPr>
            </w:pPr>
          </w:p>
        </w:tc>
        <w:tc>
          <w:tcPr>
            <w:tcW w:w="22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517,645</w:t>
            </w:r>
          </w:p>
        </w:tc>
        <w:tc>
          <w:tcPr>
            <w:tcW w:w="0" w:type="dxa"/>
            <w:vAlign w:val="bottom"/>
          </w:tcPr>
          <w:p>
            <w:pPr>
              <w:spacing w:after="0"/>
              <w:rPr>
                <w:sz w:val="1"/>
                <w:szCs w:val="1"/>
                <w:color w:val="auto"/>
              </w:rPr>
            </w:pPr>
          </w:p>
        </w:tc>
      </w:tr>
      <w:tr>
        <w:trPr>
          <w:trHeight w:val="205"/>
        </w:trPr>
        <w:tc>
          <w:tcPr>
            <w:tcW w:w="15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2,935,800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2,676,985</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385,854</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337,784</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174,777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184,199</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18,182</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15,737</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Liabilities held for sale - non-current</w:t>
            </w:r>
          </w:p>
        </w:tc>
        <w:tc>
          <w:tcPr>
            <w:tcW w:w="340" w:type="dxa"/>
            <w:vAlign w:val="bottom"/>
          </w:tcPr>
          <w:p>
            <w:pPr>
              <w:spacing w:after="0"/>
              <w:rPr>
                <w:sz w:val="17"/>
                <w:szCs w:val="17"/>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44,486</w:t>
            </w:r>
          </w:p>
        </w:tc>
        <w:tc>
          <w:tcPr>
            <w:tcW w:w="0" w:type="dxa"/>
            <w:vAlign w:val="bottom"/>
          </w:tcPr>
          <w:p>
            <w:pPr>
              <w:spacing w:after="0"/>
              <w:rPr>
                <w:sz w:val="1"/>
                <w:szCs w:val="1"/>
                <w:color w:val="auto"/>
              </w:rPr>
            </w:pPr>
          </w:p>
        </w:tc>
      </w:tr>
      <w:tr>
        <w:trPr>
          <w:trHeight w:val="200"/>
        </w:trPr>
        <w:tc>
          <w:tcPr>
            <w:tcW w:w="6020" w:type="dxa"/>
            <w:vAlign w:val="bottom"/>
            <w:tcBorders>
              <w:top w:val="single" w:sz="8" w:color="DDDDDD"/>
            </w:tcBorders>
            <w:gridSpan w:val="2"/>
            <w:shd w:val="clear" w:color="auto" w:fill="DDDDDD"/>
          </w:tcPr>
          <w:p>
            <w:pPr>
              <w:ind w:left="440"/>
              <w:spacing w:after="0"/>
              <w:rPr>
                <w:sz w:val="20"/>
                <w:szCs w:val="20"/>
                <w:color w:val="auto"/>
              </w:rPr>
            </w:pPr>
            <w:r>
              <w:rPr>
                <w:rFonts w:ascii="Arial" w:cs="Arial" w:eastAsia="Arial" w:hAnsi="Arial"/>
                <w:sz w:val="15"/>
                <w:szCs w:val="15"/>
                <w:color w:val="auto"/>
              </w:rPr>
              <w:t>Long-term liabilities</w:t>
            </w: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22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3,514,613</w:t>
            </w:r>
          </w:p>
        </w:tc>
        <w:tc>
          <w:tcPr>
            <w:tcW w:w="10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22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3,259,191</w:t>
            </w:r>
          </w:p>
        </w:tc>
        <w:tc>
          <w:tcPr>
            <w:tcW w:w="0" w:type="dxa"/>
            <w:vAlign w:val="bottom"/>
          </w:tcPr>
          <w:p>
            <w:pPr>
              <w:spacing w:after="0"/>
              <w:rPr>
                <w:sz w:val="1"/>
                <w:szCs w:val="1"/>
                <w:color w:val="auto"/>
              </w:rPr>
            </w:pPr>
          </w:p>
        </w:tc>
      </w:tr>
      <w:tr>
        <w:trPr>
          <w:trHeight w:val="198"/>
        </w:trPr>
        <w:tc>
          <w:tcPr>
            <w:tcW w:w="15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liabilities</w:t>
            </w:r>
          </w:p>
        </w:tc>
        <w:tc>
          <w:tcPr>
            <w:tcW w:w="444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4,129,125</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3,776,836</w:t>
            </w:r>
          </w:p>
        </w:tc>
        <w:tc>
          <w:tcPr>
            <w:tcW w:w="0" w:type="dxa"/>
            <w:vAlign w:val="bottom"/>
          </w:tcPr>
          <w:p>
            <w:pPr>
              <w:spacing w:after="0"/>
              <w:rPr>
                <w:sz w:val="1"/>
                <w:szCs w:val="1"/>
                <w:color w:val="auto"/>
              </w:rPr>
            </w:pPr>
          </w:p>
        </w:tc>
      </w:tr>
      <w:tr>
        <w:trPr>
          <w:trHeight w:val="187"/>
        </w:trPr>
        <w:tc>
          <w:tcPr>
            <w:tcW w:w="6020" w:type="dxa"/>
            <w:vAlign w:val="bottom"/>
            <w:gridSpan w:val="2"/>
            <w:shd w:val="clear" w:color="auto" w:fill="DDDDDD"/>
          </w:tcPr>
          <w:p>
            <w:pPr>
              <w:ind w:left="20"/>
              <w:spacing w:after="0"/>
              <w:rPr>
                <w:sz w:val="20"/>
                <w:szCs w:val="20"/>
                <w:color w:val="auto"/>
              </w:rPr>
            </w:pPr>
            <w:r>
              <w:rPr>
                <w:rFonts w:ascii="Arial" w:cs="Arial" w:eastAsia="Arial" w:hAnsi="Arial"/>
                <w:sz w:val="15"/>
                <w:szCs w:val="15"/>
                <w:color w:val="auto"/>
              </w:rPr>
              <w:t>Commitments and contingencies (see Note 17)</w:t>
            </w:r>
          </w:p>
        </w:tc>
        <w:tc>
          <w:tcPr>
            <w:tcW w:w="340" w:type="dxa"/>
            <w:vAlign w:val="bottom"/>
            <w:shd w:val="clear" w:color="auto" w:fill="DDDDDD"/>
          </w:tcPr>
          <w:p>
            <w:pPr>
              <w:spacing w:after="0"/>
              <w:rPr>
                <w:sz w:val="16"/>
                <w:szCs w:val="16"/>
                <w:color w:val="auto"/>
              </w:rPr>
            </w:pPr>
          </w:p>
        </w:tc>
        <w:tc>
          <w:tcPr>
            <w:tcW w:w="2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22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20" w:type="dxa"/>
            <w:vAlign w:val="bottom"/>
            <w:gridSpan w:val="2"/>
          </w:tcPr>
          <w:p>
            <w:pPr>
              <w:ind w:left="220"/>
              <w:spacing w:after="0" w:line="156" w:lineRule="exact"/>
              <w:rPr>
                <w:sz w:val="20"/>
                <w:szCs w:val="20"/>
                <w:color w:val="auto"/>
              </w:rPr>
            </w:pPr>
            <w:r>
              <w:rPr>
                <w:rFonts w:ascii="Arial" w:cs="Arial" w:eastAsia="Arial" w:hAnsi="Arial"/>
                <w:sz w:val="15"/>
                <w:szCs w:val="15"/>
                <w:color w:val="auto"/>
              </w:rPr>
              <w:t>Preferred Stock: $0.0001 par, 1,000,000 shares authorized and zero shares issued</w:t>
            </w:r>
          </w:p>
        </w:tc>
        <w:tc>
          <w:tcPr>
            <w:tcW w:w="340" w:type="dxa"/>
            <w:vAlign w:val="bottom"/>
          </w:tcPr>
          <w:p>
            <w:pPr>
              <w:spacing w:after="0"/>
              <w:rPr>
                <w:sz w:val="13"/>
                <w:szCs w:val="13"/>
                <w:color w:val="auto"/>
              </w:rPr>
            </w:pPr>
          </w:p>
        </w:tc>
        <w:tc>
          <w:tcPr>
            <w:tcW w:w="23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2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1580" w:type="dxa"/>
            <w:vAlign w:val="bottom"/>
          </w:tcPr>
          <w:p>
            <w:pPr>
              <w:ind w:left="220"/>
              <w:spacing w:after="0"/>
              <w:rPr>
                <w:sz w:val="20"/>
                <w:szCs w:val="20"/>
                <w:color w:val="auto"/>
              </w:rPr>
            </w:pPr>
            <w:r>
              <w:rPr>
                <w:rFonts w:ascii="Arial" w:cs="Arial" w:eastAsia="Arial" w:hAnsi="Arial"/>
                <w:sz w:val="15"/>
                <w:szCs w:val="15"/>
                <w:color w:val="auto"/>
              </w:rPr>
              <w:t>and outstanding</w:t>
            </w: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20" w:type="dxa"/>
            <w:vAlign w:val="bottom"/>
            <w:gridSpan w:val="2"/>
            <w:shd w:val="clear" w:color="auto" w:fill="DDDDDD"/>
          </w:tcPr>
          <w:p>
            <w:pPr>
              <w:ind w:left="220"/>
              <w:spacing w:after="0" w:line="156" w:lineRule="exact"/>
              <w:rPr>
                <w:sz w:val="20"/>
                <w:szCs w:val="20"/>
                <w:color w:val="auto"/>
              </w:rPr>
            </w:pPr>
            <w:r>
              <w:rPr>
                <w:rFonts w:ascii="Arial" w:cs="Arial" w:eastAsia="Arial" w:hAnsi="Arial"/>
                <w:sz w:val="15"/>
                <w:szCs w:val="15"/>
                <w:color w:val="auto"/>
              </w:rPr>
              <w:t>Common Stock: $0.0001 par, 500,000,000 shares authorized and 211,243,820 and</w:t>
            </w:r>
          </w:p>
        </w:tc>
        <w:tc>
          <w:tcPr>
            <w:tcW w:w="340" w:type="dxa"/>
            <w:vAlign w:val="bottom"/>
            <w:shd w:val="clear" w:color="auto" w:fill="DDDDDD"/>
          </w:tcPr>
          <w:p>
            <w:pPr>
              <w:spacing w:after="0"/>
              <w:rPr>
                <w:sz w:val="13"/>
                <w:szCs w:val="13"/>
                <w:color w:val="auto"/>
              </w:rPr>
            </w:pPr>
          </w:p>
        </w:tc>
        <w:tc>
          <w:tcPr>
            <w:tcW w:w="22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22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20" w:type="dxa"/>
            <w:vAlign w:val="bottom"/>
            <w:gridSpan w:val="2"/>
            <w:shd w:val="clear" w:color="auto" w:fill="DDDDDD"/>
          </w:tcPr>
          <w:p>
            <w:pPr>
              <w:ind w:left="220"/>
              <w:spacing w:after="0" w:line="155" w:lineRule="exact"/>
              <w:rPr>
                <w:sz w:val="20"/>
                <w:szCs w:val="20"/>
                <w:color w:val="auto"/>
              </w:rPr>
            </w:pPr>
            <w:r>
              <w:rPr>
                <w:rFonts w:ascii="Arial" w:cs="Arial" w:eastAsia="Arial" w:hAnsi="Arial"/>
                <w:sz w:val="15"/>
                <w:szCs w:val="15"/>
                <w:color w:val="auto"/>
              </w:rPr>
              <w:t>223,939,527 shares issued and outstanding at September 30, 2022 and December</w:t>
            </w:r>
          </w:p>
        </w:tc>
        <w:tc>
          <w:tcPr>
            <w:tcW w:w="340" w:type="dxa"/>
            <w:vAlign w:val="bottom"/>
            <w:shd w:val="clear" w:color="auto" w:fill="DDDDDD"/>
          </w:tcPr>
          <w:p>
            <w:pPr>
              <w:spacing w:after="0"/>
              <w:rPr>
                <w:sz w:val="13"/>
                <w:szCs w:val="13"/>
                <w:color w:val="auto"/>
              </w:rPr>
            </w:pPr>
          </w:p>
        </w:tc>
        <w:tc>
          <w:tcPr>
            <w:tcW w:w="222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22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6"/>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31, 2021, respectively</w:t>
            </w:r>
          </w:p>
        </w:tc>
        <w:tc>
          <w:tcPr>
            <w:tcW w:w="340" w:type="dxa"/>
            <w:vAlign w:val="bottom"/>
            <w:shd w:val="clear" w:color="auto" w:fill="DDDDDD"/>
          </w:tcPr>
          <w:p>
            <w:pPr>
              <w:spacing w:after="0"/>
              <w:rPr>
                <w:sz w:val="17"/>
                <w:szCs w:val="17"/>
                <w:color w:val="auto"/>
              </w:rPr>
            </w:pPr>
          </w:p>
        </w:tc>
        <w:tc>
          <w:tcPr>
            <w:tcW w:w="22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Additional paid-in capital</w:t>
            </w: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3,112,076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3,616,902</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Accumulated other comprehensive loss</w:t>
            </w: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(93,009)</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5"/>
        </w:trPr>
        <w:tc>
          <w:tcPr>
            <w:tcW w:w="15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Accumulated deficit</w:t>
            </w:r>
          </w:p>
        </w:tc>
        <w:tc>
          <w:tcPr>
            <w:tcW w:w="444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(1,337,950)</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(1,591,090)</w:t>
            </w:r>
          </w:p>
        </w:tc>
        <w:tc>
          <w:tcPr>
            <w:tcW w:w="0" w:type="dxa"/>
            <w:vAlign w:val="bottom"/>
          </w:tcPr>
          <w:p>
            <w:pPr>
              <w:spacing w:after="0"/>
              <w:rPr>
                <w:sz w:val="1"/>
                <w:szCs w:val="1"/>
                <w:color w:val="auto"/>
              </w:rPr>
            </w:pPr>
          </w:p>
        </w:tc>
      </w:tr>
      <w:tr>
        <w:trPr>
          <w:trHeight w:val="200"/>
        </w:trPr>
        <w:tc>
          <w:tcPr>
            <w:tcW w:w="6020" w:type="dxa"/>
            <w:vAlign w:val="bottom"/>
            <w:gridSpan w:val="2"/>
            <w:shd w:val="clear" w:color="auto" w:fill="DDDDDD"/>
          </w:tcPr>
          <w:p>
            <w:pPr>
              <w:ind w:left="20"/>
              <w:spacing w:after="0"/>
              <w:rPr>
                <w:sz w:val="20"/>
                <w:szCs w:val="20"/>
                <w:color w:val="auto"/>
              </w:rPr>
            </w:pPr>
            <w:r>
              <w:rPr>
                <w:rFonts w:ascii="Arial" w:cs="Arial" w:eastAsia="Arial" w:hAnsi="Arial"/>
                <w:sz w:val="15"/>
                <w:szCs w:val="15"/>
                <w:color w:val="auto"/>
              </w:rPr>
              <w:t>Total shareholders' equity</w:t>
            </w:r>
          </w:p>
        </w:tc>
        <w:tc>
          <w:tcPr>
            <w:tcW w:w="340" w:type="dxa"/>
            <w:vAlign w:val="bottom"/>
            <w:tcBorders>
              <w:bottom w:val="single" w:sz="8" w:color="auto"/>
            </w:tcBorders>
            <w:shd w:val="clear" w:color="auto" w:fill="DDDDDD"/>
          </w:tcPr>
          <w:p>
            <w:pPr>
              <w:spacing w:after="0"/>
              <w:rPr>
                <w:sz w:val="17"/>
                <w:szCs w:val="17"/>
                <w:color w:val="auto"/>
              </w:rPr>
            </w:pPr>
          </w:p>
        </w:tc>
        <w:tc>
          <w:tcPr>
            <w:tcW w:w="2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1,681,139</w:t>
            </w:r>
          </w:p>
        </w:tc>
        <w:tc>
          <w:tcPr>
            <w:tcW w:w="10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198"/>
        </w:trPr>
        <w:tc>
          <w:tcPr>
            <w:tcW w:w="6020" w:type="dxa"/>
            <w:vAlign w:val="bottom"/>
            <w:gridSpan w:val="2"/>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5,810,264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5,773,599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color w:val="1D2758"/>
        </w:rPr>
        <w:t>WillScot Mobile Mini Holdings Corp.</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1D2758"/>
        </w:rPr>
        <w:t>Condensed Consolidated Statements of Operations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14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September 30,</w:t>
            </w:r>
          </w:p>
        </w:tc>
        <w:tc>
          <w:tcPr>
            <w:tcW w:w="18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13"/>
        </w:trPr>
        <w:tc>
          <w:tcPr>
            <w:tcW w:w="4800" w:type="dxa"/>
            <w:vAlign w:val="bottom"/>
            <w:vMerge w:val="continue"/>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340" w:type="dxa"/>
            <w:vAlign w:val="bottom"/>
            <w:vMerge w:val="restart"/>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60" w:type="dxa"/>
            <w:vAlign w:val="bottom"/>
            <w:vMerge w:val="restart"/>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300" w:type="dxa"/>
            <w:vAlign w:val="bottom"/>
            <w:vMerge w:val="restart"/>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60" w:type="dxa"/>
            <w:vAlign w:val="bottom"/>
            <w:vMerge w:val="restart"/>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84"/>
        </w:trPr>
        <w:tc>
          <w:tcPr>
            <w:tcW w:w="4800" w:type="dxa"/>
            <w:vAlign w:val="bottom"/>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134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16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30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16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447,535</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342,599</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1,226,206</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965,894</w:t>
            </w:r>
          </w:p>
        </w:tc>
        <w:tc>
          <w:tcPr>
            <w:tcW w:w="0" w:type="dxa"/>
            <w:vAlign w:val="bottom"/>
          </w:tcPr>
          <w:p>
            <w:pPr>
              <w:spacing w:after="0"/>
              <w:rPr>
                <w:sz w:val="1"/>
                <w:szCs w:val="1"/>
                <w:color w:val="auto"/>
              </w:rPr>
            </w:pPr>
          </w:p>
        </w:tc>
      </w:tr>
      <w:tr>
        <w:trPr>
          <w:trHeight w:val="205"/>
        </w:trPr>
        <w:tc>
          <w:tcPr>
            <w:tcW w:w="4800" w:type="dxa"/>
            <w:vAlign w:val="bottom"/>
          </w:tcPr>
          <w:p>
            <w:pPr>
              <w:ind w:left="420"/>
              <w:spacing w:after="0"/>
              <w:rPr>
                <w:sz w:val="20"/>
                <w:szCs w:val="20"/>
                <w:color w:val="auto"/>
              </w:rPr>
            </w:pPr>
            <w:r>
              <w:rPr>
                <w:rFonts w:ascii="Arial" w:cs="Arial" w:eastAsia="Arial" w:hAnsi="Arial"/>
                <w:sz w:val="15"/>
                <w:szCs w:val="15"/>
                <w:color w:val="auto"/>
              </w:rPr>
              <w:t>Delivery and installation</w:t>
            </w:r>
          </w:p>
        </w:tc>
        <w:tc>
          <w:tcPr>
            <w:tcW w:w="1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132,837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91,910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341,027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252,914</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00" w:type="dxa"/>
            <w:vAlign w:val="bottom"/>
          </w:tcPr>
          <w:p>
            <w:pPr>
              <w:ind w:left="420"/>
              <w:spacing w:after="0"/>
              <w:rPr>
                <w:sz w:val="20"/>
                <w:szCs w:val="20"/>
                <w:color w:val="auto"/>
              </w:rPr>
            </w:pPr>
            <w:r>
              <w:rPr>
                <w:rFonts w:ascii="Arial" w:cs="Arial" w:eastAsia="Arial" w:hAnsi="Arial"/>
                <w:sz w:val="15"/>
                <w:szCs w:val="15"/>
                <w:color w:val="auto"/>
              </w:rPr>
              <w:t>New units</w:t>
            </w:r>
          </w:p>
        </w:tc>
        <w:tc>
          <w:tcPr>
            <w:tcW w:w="1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9,901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15,370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26,232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35,915</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Rental units</w:t>
            </w:r>
          </w:p>
        </w:tc>
        <w:tc>
          <w:tcPr>
            <w:tcW w:w="14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13,900</w:t>
            </w:r>
          </w:p>
        </w:tc>
        <w:tc>
          <w:tcPr>
            <w:tcW w:w="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11,168</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38,874</w:t>
            </w:r>
          </w:p>
        </w:tc>
        <w:tc>
          <w:tcPr>
            <w:tcW w:w="10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40,911</w:t>
            </w:r>
          </w:p>
        </w:tc>
        <w:tc>
          <w:tcPr>
            <w:tcW w:w="0" w:type="dxa"/>
            <w:vAlign w:val="bottom"/>
          </w:tcPr>
          <w:p>
            <w:pPr>
              <w:spacing w:after="0"/>
              <w:rPr>
                <w:sz w:val="1"/>
                <w:szCs w:val="1"/>
                <w:color w:val="auto"/>
              </w:rPr>
            </w:pPr>
          </w:p>
        </w:tc>
      </w:tr>
      <w:tr>
        <w:trPr>
          <w:trHeight w:val="198"/>
        </w:trPr>
        <w:tc>
          <w:tcPr>
            <w:tcW w:w="480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604,173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461,047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1,632,339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1,295,634</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0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Leasing</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111,898</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77,967</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288,774</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222,747</w:t>
            </w:r>
          </w:p>
        </w:tc>
        <w:tc>
          <w:tcPr>
            <w:tcW w:w="0" w:type="dxa"/>
            <w:vAlign w:val="bottom"/>
          </w:tcPr>
          <w:p>
            <w:pPr>
              <w:spacing w:after="0"/>
              <w:rPr>
                <w:sz w:val="1"/>
                <w:szCs w:val="1"/>
                <w:color w:val="auto"/>
              </w:rPr>
            </w:pPr>
          </w:p>
        </w:tc>
      </w:tr>
      <w:tr>
        <w:trPr>
          <w:trHeight w:val="205"/>
        </w:trPr>
        <w:tc>
          <w:tcPr>
            <w:tcW w:w="4800" w:type="dxa"/>
            <w:vAlign w:val="bottom"/>
          </w:tcPr>
          <w:p>
            <w:pPr>
              <w:ind w:left="420"/>
              <w:spacing w:after="0"/>
              <w:rPr>
                <w:sz w:val="20"/>
                <w:szCs w:val="20"/>
                <w:color w:val="auto"/>
              </w:rPr>
            </w:pPr>
            <w:r>
              <w:rPr>
                <w:rFonts w:ascii="Arial" w:cs="Arial" w:eastAsia="Arial" w:hAnsi="Arial"/>
                <w:sz w:val="15"/>
                <w:szCs w:val="15"/>
                <w:color w:val="auto"/>
              </w:rPr>
              <w:t>Delivery and installation</w:t>
            </w:r>
          </w:p>
        </w:tc>
        <w:tc>
          <w:tcPr>
            <w:tcW w:w="1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95,680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74,221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256,130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209,963</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00" w:type="dxa"/>
            <w:vAlign w:val="bottom"/>
          </w:tcPr>
          <w:p>
            <w:pPr>
              <w:ind w:left="420"/>
              <w:spacing w:after="0"/>
              <w:rPr>
                <w:sz w:val="20"/>
                <w:szCs w:val="20"/>
                <w:color w:val="auto"/>
              </w:rPr>
            </w:pPr>
            <w:r>
              <w:rPr>
                <w:rFonts w:ascii="Arial" w:cs="Arial" w:eastAsia="Arial" w:hAnsi="Arial"/>
                <w:sz w:val="15"/>
                <w:szCs w:val="15"/>
                <w:color w:val="auto"/>
              </w:rPr>
              <w:t>New units</w:t>
            </w:r>
          </w:p>
        </w:tc>
        <w:tc>
          <w:tcPr>
            <w:tcW w:w="1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6,007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11,175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15,469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24,322</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Rental units</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7,097</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5,468</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21,123</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22,441</w:t>
            </w:r>
          </w:p>
        </w:tc>
        <w:tc>
          <w:tcPr>
            <w:tcW w:w="0" w:type="dxa"/>
            <w:vAlign w:val="bottom"/>
          </w:tcPr>
          <w:p>
            <w:pPr>
              <w:spacing w:after="0"/>
              <w:rPr>
                <w:sz w:val="1"/>
                <w:szCs w:val="1"/>
                <w:color w:val="auto"/>
              </w:rPr>
            </w:pPr>
          </w:p>
        </w:tc>
      </w:tr>
      <w:tr>
        <w:trPr>
          <w:trHeight w:val="205"/>
        </w:trPr>
        <w:tc>
          <w:tcPr>
            <w:tcW w:w="4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69,159</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52,990</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192,228</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165,027</w:t>
            </w:r>
          </w:p>
        </w:tc>
        <w:tc>
          <w:tcPr>
            <w:tcW w:w="0" w:type="dxa"/>
            <w:vAlign w:val="bottom"/>
          </w:tcPr>
          <w:p>
            <w:pPr>
              <w:spacing w:after="0"/>
              <w:rPr>
                <w:sz w:val="1"/>
                <w:szCs w:val="1"/>
                <w:color w:val="auto"/>
              </w:rPr>
            </w:pPr>
          </w:p>
        </w:tc>
      </w:tr>
      <w:tr>
        <w:trPr>
          <w:trHeight w:val="200"/>
        </w:trPr>
        <w:tc>
          <w:tcPr>
            <w:tcW w:w="48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314,332</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239,226</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858,615</w:t>
            </w: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651,134</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5"/>
                <w:szCs w:val="15"/>
                <w:color w:val="auto"/>
              </w:rPr>
              <w:t>Expenses: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145,444</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127,346</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445,319</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356,651</w:t>
            </w:r>
          </w:p>
        </w:tc>
        <w:tc>
          <w:tcPr>
            <w:tcW w:w="0" w:type="dxa"/>
            <w:vAlign w:val="bottom"/>
          </w:tcPr>
          <w:p>
            <w:pPr>
              <w:spacing w:after="0"/>
              <w:rPr>
                <w:sz w:val="1"/>
                <w:szCs w:val="1"/>
                <w:color w:val="auto"/>
              </w:rPr>
            </w:pPr>
          </w:p>
        </w:tc>
      </w:tr>
      <w:tr>
        <w:trPr>
          <w:trHeight w:val="205"/>
        </w:trPr>
        <w:tc>
          <w:tcPr>
            <w:tcW w:w="480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17,066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16,459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50,895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51,793</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4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601</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2,328</w:t>
            </w:r>
          </w:p>
        </w:tc>
        <w:tc>
          <w:tcPr>
            <w:tcW w:w="0" w:type="dxa"/>
            <w:vAlign w:val="bottom"/>
          </w:tcPr>
          <w:p>
            <w:pPr>
              <w:spacing w:after="0"/>
              <w:rPr>
                <w:sz w:val="1"/>
                <w:szCs w:val="1"/>
                <w:color w:val="auto"/>
              </w:rPr>
            </w:pPr>
          </w:p>
        </w:tc>
      </w:tr>
      <w:tr>
        <w:trPr>
          <w:trHeight w:val="205"/>
        </w:trPr>
        <w:tc>
          <w:tcPr>
            <w:tcW w:w="480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1,856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11,956</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236</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127</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247</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05"/>
        </w:trPr>
        <w:tc>
          <w:tcPr>
            <w:tcW w:w="4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(2,526)</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1,475</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(7,642)</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0"/>
        </w:trPr>
        <w:tc>
          <w:tcPr>
            <w:tcW w:w="4800" w:type="dxa"/>
            <w:vAlign w:val="bottom"/>
            <w:shd w:val="clear" w:color="auto" w:fill="DBDBDB"/>
          </w:tcPr>
          <w:p>
            <w:pPr>
              <w:ind w:left="420"/>
              <w:spacing w:after="0"/>
              <w:rPr>
                <w:sz w:val="20"/>
                <w:szCs w:val="20"/>
                <w:color w:val="auto"/>
              </w:rPr>
            </w:pPr>
            <w:r>
              <w:rPr>
                <w:rFonts w:ascii="Arial" w:cs="Arial" w:eastAsia="Arial" w:hAnsi="Arial"/>
                <w:sz w:val="15"/>
                <w:szCs w:val="15"/>
                <w:color w:val="auto"/>
              </w:rPr>
              <w:t>Operating income</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154,112</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91,362</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369,628</w:t>
            </w: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228,008</w:t>
            </w:r>
          </w:p>
        </w:tc>
        <w:tc>
          <w:tcPr>
            <w:tcW w:w="0" w:type="dxa"/>
            <w:vAlign w:val="bottom"/>
          </w:tcPr>
          <w:p>
            <w:pPr>
              <w:spacing w:after="0"/>
              <w:rPr>
                <w:sz w:val="1"/>
                <w:szCs w:val="1"/>
                <w:color w:val="auto"/>
              </w:rPr>
            </w:pPr>
          </w:p>
        </w:tc>
      </w:tr>
      <w:tr>
        <w:trPr>
          <w:trHeight w:val="205"/>
        </w:trPr>
        <w:tc>
          <w:tcPr>
            <w:tcW w:w="48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38,165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29,006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102,362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87,793</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140" w:type="dxa"/>
            <w:vAlign w:val="bottom"/>
            <w:shd w:val="clear" w:color="auto" w:fill="DBDBDB"/>
          </w:tcPr>
          <w:p>
            <w:pPr>
              <w:spacing w:after="0"/>
              <w:rPr>
                <w:sz w:val="18"/>
                <w:szCs w:val="18"/>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5"/>
        </w:trPr>
        <w:tc>
          <w:tcPr>
            <w:tcW w:w="4800" w:type="dxa"/>
            <w:vAlign w:val="bottom"/>
          </w:tcPr>
          <w:p>
            <w:pPr>
              <w:ind w:left="220"/>
              <w:spacing w:after="0"/>
              <w:rPr>
                <w:sz w:val="20"/>
                <w:szCs w:val="20"/>
                <w:color w:val="auto"/>
              </w:rPr>
            </w:pPr>
            <w:r>
              <w:rPr>
                <w:rFonts w:ascii="Arial" w:cs="Arial" w:eastAsia="Arial" w:hAnsi="Arial"/>
                <w:sz w:val="15"/>
                <w:szCs w:val="15"/>
                <w:color w:val="auto"/>
              </w:rPr>
              <w:t>Loss on extinguishment of debt</w:t>
            </w: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0"/>
        </w:trPr>
        <w:tc>
          <w:tcPr>
            <w:tcW w:w="48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140" w:type="dxa"/>
            <w:vAlign w:val="bottom"/>
            <w:tcBorders>
              <w:top w:val="single" w:sz="8" w:color="auto"/>
            </w:tcBorders>
            <w:shd w:val="clear" w:color="auto" w:fill="DBDBDB"/>
          </w:tcPr>
          <w:p>
            <w:pPr>
              <w:spacing w:after="0"/>
              <w:rPr>
                <w:sz w:val="17"/>
                <w:szCs w:val="17"/>
                <w:color w:val="auto"/>
              </w:rPr>
            </w:pPr>
          </w:p>
        </w:tc>
        <w:tc>
          <w:tcPr>
            <w:tcW w:w="134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115,947</w:t>
            </w:r>
          </w:p>
        </w:tc>
        <w:tc>
          <w:tcPr>
            <w:tcW w:w="8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spacing w:after="0"/>
              <w:rPr>
                <w:sz w:val="17"/>
                <w:szCs w:val="17"/>
                <w:color w:val="auto"/>
              </w:rPr>
            </w:pPr>
          </w:p>
        </w:tc>
        <w:tc>
          <w:tcPr>
            <w:tcW w:w="11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62,356</w:t>
            </w:r>
          </w:p>
        </w:tc>
        <w:tc>
          <w:tcPr>
            <w:tcW w:w="8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130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267,266</w:t>
            </w:r>
          </w:p>
        </w:tc>
        <w:tc>
          <w:tcPr>
            <w:tcW w:w="10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spacing w:after="0"/>
              <w:rPr>
                <w:sz w:val="17"/>
                <w:szCs w:val="17"/>
                <w:color w:val="auto"/>
              </w:rPr>
            </w:pPr>
          </w:p>
        </w:tc>
        <w:tc>
          <w:tcPr>
            <w:tcW w:w="11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107,619</w:t>
            </w:r>
          </w:p>
        </w:tc>
        <w:tc>
          <w:tcPr>
            <w:tcW w:w="0" w:type="dxa"/>
            <w:vAlign w:val="bottom"/>
          </w:tcPr>
          <w:p>
            <w:pPr>
              <w:spacing w:after="0"/>
              <w:rPr>
                <w:sz w:val="1"/>
                <w:szCs w:val="1"/>
                <w:color w:val="auto"/>
              </w:rPr>
            </w:pPr>
          </w:p>
        </w:tc>
      </w:tr>
      <w:tr>
        <w:trPr>
          <w:trHeight w:val="205"/>
        </w:trPr>
        <w:tc>
          <w:tcPr>
            <w:tcW w:w="4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30,219</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5,243</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67,167</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32,341</w:t>
            </w: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14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85,728</w:t>
            </w:r>
          </w:p>
        </w:tc>
        <w:tc>
          <w:tcPr>
            <w:tcW w:w="80" w:type="dxa"/>
            <w:vAlign w:val="bottom"/>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57,113</w:t>
            </w: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200,099</w:t>
            </w:r>
          </w:p>
        </w:tc>
        <w:tc>
          <w:tcPr>
            <w:tcW w:w="100" w:type="dxa"/>
            <w:vAlign w:val="bottom"/>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75,278</w:t>
            </w:r>
          </w:p>
        </w:tc>
        <w:tc>
          <w:tcPr>
            <w:tcW w:w="0" w:type="dxa"/>
            <w:vAlign w:val="bottom"/>
          </w:tcPr>
          <w:p>
            <w:pPr>
              <w:spacing w:after="0"/>
              <w:rPr>
                <w:sz w:val="1"/>
                <w:szCs w:val="1"/>
                <w:color w:val="auto"/>
              </w:rPr>
            </w:pPr>
          </w:p>
        </w:tc>
      </w:tr>
      <w:tr>
        <w:trPr>
          <w:trHeight w:val="226"/>
        </w:trPr>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0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1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10,802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5,391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24,488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14,255</w:t>
            </w:r>
          </w:p>
        </w:tc>
        <w:tc>
          <w:tcPr>
            <w:tcW w:w="0" w:type="dxa"/>
            <w:vAlign w:val="bottom"/>
          </w:tcPr>
          <w:p>
            <w:pPr>
              <w:spacing w:after="0"/>
              <w:rPr>
                <w:sz w:val="1"/>
                <w:szCs w:val="1"/>
                <w:color w:val="auto"/>
              </w:rPr>
            </w:pPr>
          </w:p>
        </w:tc>
      </w:tr>
      <w:tr>
        <w:trPr>
          <w:trHeight w:val="207"/>
        </w:trPr>
        <w:tc>
          <w:tcPr>
            <w:tcW w:w="4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1,986</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1,401</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5,496</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3,612</w:t>
            </w:r>
          </w:p>
        </w:tc>
        <w:tc>
          <w:tcPr>
            <w:tcW w:w="0" w:type="dxa"/>
            <w:vAlign w:val="bottom"/>
          </w:tcPr>
          <w:p>
            <w:pPr>
              <w:spacing w:after="0"/>
              <w:rPr>
                <w:sz w:val="1"/>
                <w:szCs w:val="1"/>
                <w:color w:val="auto"/>
              </w:rPr>
            </w:pPr>
          </w:p>
        </w:tc>
      </w:tr>
      <w:tr>
        <w:trPr>
          <w:trHeight w:val="205"/>
        </w:trPr>
        <w:tc>
          <w:tcPr>
            <w:tcW w:w="4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34,049</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34,049</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4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4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42,865</w:t>
            </w:r>
          </w:p>
        </w:tc>
        <w:tc>
          <w:tcPr>
            <w:tcW w:w="8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3,990</w:t>
            </w:r>
          </w:p>
        </w:tc>
        <w:tc>
          <w:tcPr>
            <w:tcW w:w="8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53,041</w:t>
            </w:r>
          </w:p>
        </w:tc>
        <w:tc>
          <w:tcPr>
            <w:tcW w:w="10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10,643</w:t>
            </w:r>
          </w:p>
        </w:tc>
        <w:tc>
          <w:tcPr>
            <w:tcW w:w="0" w:type="dxa"/>
            <w:vAlign w:val="bottom"/>
          </w:tcPr>
          <w:p>
            <w:pPr>
              <w:spacing w:after="0"/>
              <w:rPr>
                <w:sz w:val="1"/>
                <w:szCs w:val="1"/>
                <w:color w:val="auto"/>
              </w:rPr>
            </w:pPr>
          </w:p>
        </w:tc>
      </w:tr>
      <w:tr>
        <w:trPr>
          <w:trHeight w:val="226"/>
        </w:trPr>
        <w:tc>
          <w:tcPr>
            <w:tcW w:w="48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128,593</w:t>
            </w:r>
          </w:p>
        </w:tc>
        <w:tc>
          <w:tcPr>
            <w:tcW w:w="8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61,103</w:t>
            </w: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253,140</w:t>
            </w:r>
          </w:p>
        </w:tc>
        <w:tc>
          <w:tcPr>
            <w:tcW w:w="10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85,921</w:t>
            </w:r>
          </w:p>
        </w:tc>
        <w:tc>
          <w:tcPr>
            <w:tcW w:w="0" w:type="dxa"/>
            <w:vAlign w:val="bottom"/>
          </w:tcPr>
          <w:p>
            <w:pPr>
              <w:spacing w:after="0"/>
              <w:rPr>
                <w:sz w:val="1"/>
                <w:szCs w:val="1"/>
                <w:color w:val="auto"/>
              </w:rPr>
            </w:pPr>
          </w:p>
        </w:tc>
      </w:tr>
      <w:tr>
        <w:trPr>
          <w:trHeight w:val="20"/>
        </w:trPr>
        <w:tc>
          <w:tcPr>
            <w:tcW w:w="48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460" w:top="818"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6"/>
        </w:trPr>
        <w:tc>
          <w:tcPr>
            <w:tcW w:w="3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 from continuing operations:</w:t>
            </w:r>
          </w:p>
        </w:tc>
        <w:tc>
          <w:tcPr>
            <w:tcW w:w="94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r>
      <w:tr>
        <w:trPr>
          <w:trHeight w:val="205"/>
        </w:trPr>
        <w:tc>
          <w:tcPr>
            <w:tcW w:w="3980" w:type="dxa"/>
            <w:vAlign w:val="bottom"/>
          </w:tcPr>
          <w:p>
            <w:pPr>
              <w:ind w:left="20"/>
              <w:spacing w:after="0"/>
              <w:rPr>
                <w:sz w:val="20"/>
                <w:szCs w:val="20"/>
                <w:color w:val="auto"/>
              </w:rPr>
            </w:pPr>
            <w:r>
              <w:rPr>
                <w:rFonts w:ascii="Arial" w:cs="Arial" w:eastAsia="Arial" w:hAnsi="Arial"/>
                <w:sz w:val="15"/>
                <w:szCs w:val="15"/>
                <w:color w:val="auto"/>
              </w:rPr>
              <w:t>Basic</w:t>
            </w:r>
          </w:p>
        </w:tc>
        <w:tc>
          <w:tcPr>
            <w:tcW w:w="9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0.40</w:t>
            </w:r>
          </w:p>
        </w:tc>
        <w:tc>
          <w:tcPr>
            <w:tcW w:w="46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0.25</w:t>
            </w:r>
          </w:p>
        </w:tc>
        <w:tc>
          <w:tcPr>
            <w:tcW w:w="4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0.91</w:t>
            </w:r>
          </w:p>
        </w:tc>
        <w:tc>
          <w:tcPr>
            <w:tcW w:w="4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0.33</w:t>
            </w:r>
          </w:p>
        </w:tc>
      </w:tr>
      <w:tr>
        <w:trPr>
          <w:trHeight w:val="207"/>
        </w:trPr>
        <w:tc>
          <w:tcPr>
            <w:tcW w:w="3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9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0.39</w:t>
            </w:r>
          </w:p>
        </w:tc>
        <w:tc>
          <w:tcPr>
            <w:tcW w:w="46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0.24</w:t>
            </w:r>
          </w:p>
        </w:tc>
        <w:tc>
          <w:tcPr>
            <w:tcW w:w="4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0.89</w:t>
            </w:r>
          </w:p>
        </w:tc>
        <w:tc>
          <w:tcPr>
            <w:tcW w:w="4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0.32</w:t>
            </w:r>
          </w:p>
        </w:tc>
      </w:tr>
      <w:tr>
        <w:trPr>
          <w:trHeight w:val="205"/>
        </w:trPr>
        <w:tc>
          <w:tcPr>
            <w:tcW w:w="3980" w:type="dxa"/>
            <w:vAlign w:val="bottom"/>
          </w:tcPr>
          <w:p>
            <w:pPr>
              <w:ind w:left="20"/>
              <w:spacing w:after="0"/>
              <w:rPr>
                <w:sz w:val="20"/>
                <w:szCs w:val="20"/>
                <w:color w:val="auto"/>
              </w:rPr>
            </w:pPr>
            <w:r>
              <w:rPr>
                <w:rFonts w:ascii="Arial" w:cs="Arial" w:eastAsia="Arial" w:hAnsi="Arial"/>
                <w:sz w:val="15"/>
                <w:szCs w:val="15"/>
                <w:color w:val="auto"/>
              </w:rPr>
              <w:t>Earnings per share from discontinued operations:</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3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9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0.20</w:t>
            </w:r>
          </w:p>
        </w:tc>
        <w:tc>
          <w:tcPr>
            <w:tcW w:w="46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0.02</w:t>
            </w:r>
          </w:p>
        </w:tc>
        <w:tc>
          <w:tcPr>
            <w:tcW w:w="4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0.24</w:t>
            </w:r>
          </w:p>
        </w:tc>
        <w:tc>
          <w:tcPr>
            <w:tcW w:w="4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0.05</w:t>
            </w:r>
          </w:p>
        </w:tc>
      </w:tr>
      <w:tr>
        <w:trPr>
          <w:trHeight w:val="205"/>
        </w:trPr>
        <w:tc>
          <w:tcPr>
            <w:tcW w:w="3980" w:type="dxa"/>
            <w:vAlign w:val="bottom"/>
          </w:tcPr>
          <w:p>
            <w:pPr>
              <w:ind w:left="20"/>
              <w:spacing w:after="0"/>
              <w:rPr>
                <w:sz w:val="20"/>
                <w:szCs w:val="20"/>
                <w:color w:val="auto"/>
              </w:rPr>
            </w:pPr>
            <w:r>
              <w:rPr>
                <w:rFonts w:ascii="Arial" w:cs="Arial" w:eastAsia="Arial" w:hAnsi="Arial"/>
                <w:sz w:val="15"/>
                <w:szCs w:val="15"/>
                <w:color w:val="auto"/>
              </w:rPr>
              <w:t>Diluted</w:t>
            </w:r>
          </w:p>
        </w:tc>
        <w:tc>
          <w:tcPr>
            <w:tcW w:w="9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0.20</w:t>
            </w:r>
          </w:p>
        </w:tc>
        <w:tc>
          <w:tcPr>
            <w:tcW w:w="46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0.02</w:t>
            </w:r>
          </w:p>
        </w:tc>
        <w:tc>
          <w:tcPr>
            <w:tcW w:w="4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0.24</w:t>
            </w:r>
          </w:p>
        </w:tc>
        <w:tc>
          <w:tcPr>
            <w:tcW w:w="4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0.05</w:t>
            </w:r>
          </w:p>
        </w:tc>
      </w:tr>
      <w:tr>
        <w:trPr>
          <w:trHeight w:val="207"/>
        </w:trPr>
        <w:tc>
          <w:tcPr>
            <w:tcW w:w="3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w:t>
            </w:r>
          </w:p>
        </w:tc>
        <w:tc>
          <w:tcPr>
            <w:tcW w:w="9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r>
      <w:tr>
        <w:trPr>
          <w:trHeight w:val="205"/>
        </w:trPr>
        <w:tc>
          <w:tcPr>
            <w:tcW w:w="3980" w:type="dxa"/>
            <w:vAlign w:val="bottom"/>
          </w:tcPr>
          <w:p>
            <w:pPr>
              <w:ind w:left="20"/>
              <w:spacing w:after="0"/>
              <w:rPr>
                <w:sz w:val="20"/>
                <w:szCs w:val="20"/>
                <w:color w:val="auto"/>
              </w:rPr>
            </w:pPr>
            <w:r>
              <w:rPr>
                <w:rFonts w:ascii="Arial" w:cs="Arial" w:eastAsia="Arial" w:hAnsi="Arial"/>
                <w:sz w:val="15"/>
                <w:szCs w:val="15"/>
                <w:color w:val="auto"/>
              </w:rPr>
              <w:t>Basic</w:t>
            </w:r>
          </w:p>
        </w:tc>
        <w:tc>
          <w:tcPr>
            <w:tcW w:w="9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0.60</w:t>
            </w:r>
          </w:p>
        </w:tc>
        <w:tc>
          <w:tcPr>
            <w:tcW w:w="46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0.27</w:t>
            </w:r>
          </w:p>
        </w:tc>
        <w:tc>
          <w:tcPr>
            <w:tcW w:w="4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1.15</w:t>
            </w:r>
          </w:p>
        </w:tc>
        <w:tc>
          <w:tcPr>
            <w:tcW w:w="48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0.38</w:t>
            </w:r>
          </w:p>
        </w:tc>
      </w:tr>
      <w:tr>
        <w:trPr>
          <w:trHeight w:val="207"/>
        </w:trPr>
        <w:tc>
          <w:tcPr>
            <w:tcW w:w="3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9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0.59</w:t>
            </w:r>
          </w:p>
        </w:tc>
        <w:tc>
          <w:tcPr>
            <w:tcW w:w="46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0.26</w:t>
            </w:r>
          </w:p>
        </w:tc>
        <w:tc>
          <w:tcPr>
            <w:tcW w:w="4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1.13</w:t>
            </w:r>
          </w:p>
        </w:tc>
        <w:tc>
          <w:tcPr>
            <w:tcW w:w="48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0.37</w:t>
            </w:r>
          </w:p>
        </w:tc>
      </w:tr>
      <w:tr>
        <w:trPr>
          <w:trHeight w:val="205"/>
        </w:trPr>
        <w:tc>
          <w:tcPr>
            <w:tcW w:w="398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3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94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213,636,876</w:t>
            </w:r>
          </w:p>
        </w:tc>
        <w:tc>
          <w:tcPr>
            <w:tcW w:w="46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225,998,202</w:t>
            </w:r>
          </w:p>
        </w:tc>
        <w:tc>
          <w:tcPr>
            <w:tcW w:w="48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219,312,260</w:t>
            </w:r>
          </w:p>
        </w:tc>
        <w:tc>
          <w:tcPr>
            <w:tcW w:w="4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227,557,664</w:t>
            </w:r>
          </w:p>
        </w:tc>
      </w:tr>
      <w:tr>
        <w:trPr>
          <w:trHeight w:val="205"/>
        </w:trPr>
        <w:tc>
          <w:tcPr>
            <w:tcW w:w="3980" w:type="dxa"/>
            <w:vAlign w:val="bottom"/>
          </w:tcPr>
          <w:p>
            <w:pPr>
              <w:ind w:left="20"/>
              <w:spacing w:after="0"/>
              <w:rPr>
                <w:sz w:val="20"/>
                <w:szCs w:val="20"/>
                <w:color w:val="auto"/>
              </w:rPr>
            </w:pPr>
            <w:r>
              <w:rPr>
                <w:rFonts w:ascii="Arial" w:cs="Arial" w:eastAsia="Arial" w:hAnsi="Arial"/>
                <w:sz w:val="15"/>
                <w:szCs w:val="15"/>
                <w:color w:val="auto"/>
              </w:rPr>
              <w:t>Diluted</w:t>
            </w:r>
          </w:p>
        </w:tc>
        <w:tc>
          <w:tcPr>
            <w:tcW w:w="94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217,927,725</w:t>
            </w:r>
          </w:p>
        </w:tc>
        <w:tc>
          <w:tcPr>
            <w:tcW w:w="4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231,868,397</w:t>
            </w:r>
          </w:p>
        </w:tc>
        <w:tc>
          <w:tcPr>
            <w:tcW w:w="4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223,933,319</w:t>
            </w:r>
          </w:p>
        </w:tc>
        <w:tc>
          <w:tcPr>
            <w:tcW w:w="4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234,084,800</w:t>
            </w:r>
          </w:p>
        </w:tc>
      </w:tr>
    </w:tbl>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Comprehensive Income (Unaudited)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2180" w:type="dxa"/>
            <w:vAlign w:val="bottom"/>
            <w:gridSpan w:val="5"/>
            <w:shd w:val="clear" w:color="auto" w:fill="1D2758"/>
          </w:tcPr>
          <w:p>
            <w:pPr>
              <w:jc w:val="center"/>
              <w:ind w:right="340"/>
              <w:spacing w:after="0"/>
              <w:rPr>
                <w:sz w:val="20"/>
                <w:szCs w:val="20"/>
                <w:color w:val="auto"/>
              </w:rPr>
            </w:pPr>
            <w:r>
              <w:rPr>
                <w:rFonts w:ascii="Arial" w:cs="Arial" w:eastAsia="Arial" w:hAnsi="Arial"/>
                <w:sz w:val="15"/>
                <w:szCs w:val="15"/>
                <w:b w:val="1"/>
                <w:bCs w:val="1"/>
                <w:color w:val="FFFFFF"/>
              </w:rPr>
              <w:t>Three Months Ended</w:t>
            </w:r>
          </w:p>
        </w:tc>
        <w:tc>
          <w:tcPr>
            <w:tcW w:w="240" w:type="dxa"/>
            <w:vAlign w:val="bottom"/>
            <w:shd w:val="clear" w:color="auto" w:fill="1D2758"/>
          </w:tcPr>
          <w:p>
            <w:pPr>
              <w:spacing w:after="0"/>
              <w:rPr>
                <w:sz w:val="14"/>
                <w:szCs w:val="14"/>
                <w:color w:val="auto"/>
              </w:rPr>
            </w:pPr>
          </w:p>
        </w:tc>
        <w:tc>
          <w:tcPr>
            <w:tcW w:w="2100" w:type="dxa"/>
            <w:vAlign w:val="bottom"/>
            <w:gridSpan w:val="4"/>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6"/>
        </w:trPr>
        <w:tc>
          <w:tcPr>
            <w:tcW w:w="64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7"/>
                <w:szCs w:val="17"/>
                <w:color w:val="auto"/>
              </w:rPr>
            </w:pPr>
          </w:p>
        </w:tc>
        <w:tc>
          <w:tcPr>
            <w:tcW w:w="2180" w:type="dxa"/>
            <w:vAlign w:val="bottom"/>
            <w:gridSpan w:val="5"/>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September 30,</w:t>
            </w:r>
          </w:p>
        </w:tc>
        <w:tc>
          <w:tcPr>
            <w:tcW w:w="240" w:type="dxa"/>
            <w:vAlign w:val="bottom"/>
            <w:shd w:val="clear" w:color="auto" w:fill="1D2758"/>
          </w:tcPr>
          <w:p>
            <w:pPr>
              <w:spacing w:after="0"/>
              <w:rPr>
                <w:sz w:val="17"/>
                <w:szCs w:val="17"/>
                <w:color w:val="auto"/>
              </w:rPr>
            </w:pPr>
          </w:p>
        </w:tc>
        <w:tc>
          <w:tcPr>
            <w:tcW w:w="2100" w:type="dxa"/>
            <w:vAlign w:val="bottom"/>
            <w:gridSpan w:val="4"/>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September 30,</w:t>
            </w:r>
          </w:p>
        </w:tc>
        <w:tc>
          <w:tcPr>
            <w:tcW w:w="0" w:type="dxa"/>
            <w:vAlign w:val="bottom"/>
          </w:tcPr>
          <w:p>
            <w:pPr>
              <w:spacing w:after="0"/>
              <w:rPr>
                <w:sz w:val="1"/>
                <w:szCs w:val="1"/>
                <w:color w:val="auto"/>
              </w:rPr>
            </w:pPr>
          </w:p>
        </w:tc>
      </w:tr>
      <w:tr>
        <w:trPr>
          <w:trHeight w:val="213"/>
        </w:trPr>
        <w:tc>
          <w:tcPr>
            <w:tcW w:w="64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88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86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88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88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61"/>
        </w:trPr>
        <w:tc>
          <w:tcPr>
            <w:tcW w:w="648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88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86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88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8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4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128,593</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61,103</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253,140</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85,921</w:t>
            </w:r>
          </w:p>
        </w:tc>
        <w:tc>
          <w:tcPr>
            <w:tcW w:w="0" w:type="dxa"/>
            <w:vAlign w:val="bottom"/>
          </w:tcPr>
          <w:p>
            <w:pPr>
              <w:spacing w:after="0"/>
              <w:rPr>
                <w:sz w:val="1"/>
                <w:szCs w:val="1"/>
                <w:color w:val="auto"/>
              </w:rPr>
            </w:pPr>
          </w:p>
        </w:tc>
      </w:tr>
      <w:tr>
        <w:trPr>
          <w:trHeight w:val="205"/>
        </w:trPr>
        <w:tc>
          <w:tcPr>
            <w:tcW w:w="6480" w:type="dxa"/>
            <w:vAlign w:val="bottom"/>
          </w:tcPr>
          <w:p>
            <w:pPr>
              <w:ind w:left="20"/>
              <w:spacing w:after="0"/>
              <w:rPr>
                <w:sz w:val="20"/>
                <w:szCs w:val="20"/>
                <w:color w:val="auto"/>
              </w:rPr>
            </w:pPr>
            <w:r>
              <w:rPr>
                <w:rFonts w:ascii="Arial" w:cs="Arial" w:eastAsia="Arial" w:hAnsi="Arial"/>
                <w:sz w:val="15"/>
                <w:szCs w:val="15"/>
                <w:color w:val="auto"/>
              </w:rPr>
              <w:t>Other comprehensive (loss)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48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Foreign currency translation adjustment, net of income tax expense of $0 for both the three</w:t>
            </w:r>
          </w:p>
        </w:tc>
        <w:tc>
          <w:tcPr>
            <w:tcW w:w="2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80" w:type="dxa"/>
            <w:vAlign w:val="bottom"/>
            <w:shd w:val="clear" w:color="auto" w:fill="DBDBDB"/>
          </w:tcPr>
          <w:p>
            <w:pPr>
              <w:ind w:left="220"/>
              <w:spacing w:after="0" w:line="155" w:lineRule="exact"/>
              <w:rPr>
                <w:sz w:val="20"/>
                <w:szCs w:val="20"/>
                <w:color w:val="auto"/>
              </w:rPr>
            </w:pPr>
            <w:r>
              <w:rPr>
                <w:rFonts w:ascii="Arial" w:cs="Arial" w:eastAsia="Arial" w:hAnsi="Arial"/>
                <w:sz w:val="15"/>
                <w:szCs w:val="15"/>
                <w:color w:val="auto"/>
              </w:rPr>
              <w:t>and nine months ended September 30, 2022 and $0 and $60 for the three and nine</w:t>
            </w:r>
          </w:p>
        </w:tc>
        <w:tc>
          <w:tcPr>
            <w:tcW w:w="24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(37,733)</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(11,162)</w:t>
            </w: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(67,435)</w:t>
            </w: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(3,035)</w:t>
            </w:r>
          </w:p>
        </w:tc>
        <w:tc>
          <w:tcPr>
            <w:tcW w:w="0" w:type="dxa"/>
            <w:vAlign w:val="bottom"/>
          </w:tcPr>
          <w:p>
            <w:pPr>
              <w:spacing w:after="0"/>
              <w:rPr>
                <w:sz w:val="1"/>
                <w:szCs w:val="1"/>
                <w:color w:val="auto"/>
              </w:rPr>
            </w:pPr>
          </w:p>
        </w:tc>
      </w:tr>
      <w:tr>
        <w:trPr>
          <w:trHeight w:val="206"/>
        </w:trPr>
        <w:tc>
          <w:tcPr>
            <w:tcW w:w="64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months ended September 30, 2021, respectively.</w:t>
            </w:r>
          </w:p>
        </w:tc>
        <w:tc>
          <w:tcPr>
            <w:tcW w:w="240" w:type="dxa"/>
            <w:vAlign w:val="bottom"/>
            <w:shd w:val="clear" w:color="auto" w:fill="DBDBDB"/>
          </w:tcPr>
          <w:p>
            <w:pPr>
              <w:spacing w:after="0"/>
              <w:rPr>
                <w:sz w:val="17"/>
                <w:szCs w:val="17"/>
                <w:color w:val="auto"/>
              </w:rPr>
            </w:pPr>
          </w:p>
        </w:tc>
        <w:tc>
          <w:tcPr>
            <w:tcW w:w="88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480" w:type="dxa"/>
            <w:vAlign w:val="bottom"/>
          </w:tcPr>
          <w:p>
            <w:pPr>
              <w:ind w:left="220"/>
              <w:spacing w:after="0" w:line="156" w:lineRule="exact"/>
              <w:rPr>
                <w:sz w:val="20"/>
                <w:szCs w:val="20"/>
                <w:color w:val="auto"/>
              </w:rPr>
            </w:pPr>
            <w:r>
              <w:rPr>
                <w:rFonts w:ascii="Arial" w:cs="Arial" w:eastAsia="Arial" w:hAnsi="Arial"/>
                <w:sz w:val="15"/>
                <w:szCs w:val="15"/>
                <w:color w:val="auto"/>
              </w:rPr>
              <w:t>Net change in derivatives, net of income tax expense of $676 for the three months ended</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80" w:type="dxa"/>
            <w:vAlign w:val="bottom"/>
          </w:tcPr>
          <w:p>
            <w:pPr>
              <w:ind w:left="220"/>
              <w:spacing w:after="0" w:line="155" w:lineRule="exact"/>
              <w:rPr>
                <w:sz w:val="20"/>
                <w:szCs w:val="20"/>
                <w:color w:val="auto"/>
              </w:rPr>
            </w:pPr>
            <w:r>
              <w:rPr>
                <w:rFonts w:ascii="Arial" w:cs="Arial" w:eastAsia="Arial" w:hAnsi="Arial"/>
                <w:sz w:val="15"/>
                <w:szCs w:val="15"/>
                <w:color w:val="auto"/>
              </w:rPr>
              <w:t>September 30, 2021, and $1,171 and $1,999 for the nine months ended September 30,</w:t>
            </w:r>
          </w:p>
        </w:tc>
        <w:tc>
          <w:tcPr>
            <w:tcW w:w="2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2,206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3,497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6,529</w:t>
            </w:r>
          </w:p>
        </w:tc>
        <w:tc>
          <w:tcPr>
            <w:tcW w:w="0" w:type="dxa"/>
            <w:vAlign w:val="bottom"/>
          </w:tcPr>
          <w:p>
            <w:pPr>
              <w:spacing w:after="0"/>
              <w:rPr>
                <w:sz w:val="1"/>
                <w:szCs w:val="1"/>
                <w:color w:val="auto"/>
              </w:rPr>
            </w:pPr>
          </w:p>
        </w:tc>
      </w:tr>
      <w:tr>
        <w:trPr>
          <w:trHeight w:val="205"/>
        </w:trPr>
        <w:tc>
          <w:tcPr>
            <w:tcW w:w="6480" w:type="dxa"/>
            <w:vAlign w:val="bottom"/>
          </w:tcPr>
          <w:p>
            <w:pPr>
              <w:ind w:left="220"/>
              <w:spacing w:after="0"/>
              <w:rPr>
                <w:sz w:val="20"/>
                <w:szCs w:val="20"/>
                <w:color w:val="auto"/>
              </w:rPr>
            </w:pPr>
            <w:r>
              <w:rPr>
                <w:rFonts w:ascii="Arial" w:cs="Arial" w:eastAsia="Arial" w:hAnsi="Arial"/>
                <w:sz w:val="15"/>
                <w:szCs w:val="15"/>
                <w:color w:val="auto"/>
              </w:rPr>
              <w:t>2022 and 2021, respectively.</w:t>
            </w: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other comprehensive (loss) income</w:t>
            </w:r>
          </w:p>
        </w:tc>
        <w:tc>
          <w:tcPr>
            <w:tcW w:w="240" w:type="dxa"/>
            <w:vAlign w:val="bottom"/>
            <w:tcBorders>
              <w:top w:val="single" w:sz="8" w:color="auto"/>
              <w:bottom w:val="single" w:sz="8" w:color="auto"/>
            </w:tcBorders>
            <w:shd w:val="clear" w:color="auto" w:fill="DBDBDB"/>
          </w:tcPr>
          <w:p>
            <w:pPr>
              <w:spacing w:after="0"/>
              <w:rPr>
                <w:sz w:val="17"/>
                <w:szCs w:val="17"/>
                <w:color w:val="auto"/>
              </w:rPr>
            </w:pP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(37,733)</w:t>
            </w:r>
          </w:p>
        </w:tc>
        <w:tc>
          <w:tcPr>
            <w:tcW w:w="80" w:type="dxa"/>
            <w:vAlign w:val="bottom"/>
            <w:tcBorders>
              <w:top w:val="single" w:sz="8" w:color="DBDBDB"/>
            </w:tcBorders>
            <w:shd w:val="clear" w:color="auto" w:fill="DBDBDB"/>
          </w:tcPr>
          <w:p>
            <w:pPr>
              <w:spacing w:after="0"/>
              <w:rPr>
                <w:sz w:val="17"/>
                <w:szCs w:val="17"/>
                <w:color w:val="auto"/>
              </w:rPr>
            </w:pPr>
          </w:p>
        </w:tc>
        <w:tc>
          <w:tcPr>
            <w:tcW w:w="260" w:type="dxa"/>
            <w:vAlign w:val="bottom"/>
            <w:tcBorders>
              <w:top w:val="single" w:sz="8" w:color="auto"/>
              <w:bottom w:val="single" w:sz="8" w:color="auto"/>
            </w:tcBorders>
            <w:shd w:val="clear" w:color="auto" w:fill="DBDBDB"/>
          </w:tcPr>
          <w:p>
            <w:pPr>
              <w:spacing w:after="0"/>
              <w:rPr>
                <w:sz w:val="17"/>
                <w:szCs w:val="17"/>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(8,956)</w:t>
            </w:r>
          </w:p>
        </w:tc>
        <w:tc>
          <w:tcPr>
            <w:tcW w:w="10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bottom w:val="single" w:sz="8" w:color="auto"/>
            </w:tcBorders>
            <w:shd w:val="clear" w:color="auto" w:fill="DBDBDB"/>
          </w:tcPr>
          <w:p>
            <w:pPr>
              <w:spacing w:after="0"/>
              <w:rPr>
                <w:sz w:val="17"/>
                <w:szCs w:val="17"/>
                <w:color w:val="auto"/>
              </w:rPr>
            </w:pP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(63,938)</w:t>
            </w:r>
          </w:p>
        </w:tc>
        <w:tc>
          <w:tcPr>
            <w:tcW w:w="10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bottom w:val="single" w:sz="8" w:color="auto"/>
            </w:tcBorders>
            <w:shd w:val="clear" w:color="auto" w:fill="DBDBDB"/>
          </w:tcPr>
          <w:p>
            <w:pPr>
              <w:spacing w:after="0"/>
              <w:rPr>
                <w:sz w:val="17"/>
                <w:szCs w:val="17"/>
                <w:color w:val="auto"/>
              </w:rPr>
            </w:pP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3,494</w:t>
            </w:r>
          </w:p>
        </w:tc>
        <w:tc>
          <w:tcPr>
            <w:tcW w:w="0" w:type="dxa"/>
            <w:vAlign w:val="bottom"/>
          </w:tcPr>
          <w:p>
            <w:pPr>
              <w:spacing w:after="0"/>
              <w:rPr>
                <w:sz w:val="1"/>
                <w:szCs w:val="1"/>
                <w:color w:val="auto"/>
              </w:rPr>
            </w:pPr>
          </w:p>
        </w:tc>
      </w:tr>
      <w:tr>
        <w:trPr>
          <w:trHeight w:val="200"/>
        </w:trPr>
        <w:tc>
          <w:tcPr>
            <w:tcW w:w="648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90,860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189,202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89,415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Changes in Equity (Unaudited)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7089140" cy="130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308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4220" w:type="dxa"/>
            <w:vAlign w:val="bottom"/>
            <w:shd w:val="clear" w:color="auto" w:fill="1D2758"/>
          </w:tcPr>
          <w:p>
            <w:pPr>
              <w:spacing w:after="0"/>
              <w:rPr>
                <w:sz w:val="24"/>
                <w:szCs w:val="24"/>
                <w:color w:val="auto"/>
              </w:rPr>
            </w:pPr>
          </w:p>
        </w:tc>
        <w:tc>
          <w:tcPr>
            <w:tcW w:w="1120" w:type="dxa"/>
            <w:vAlign w:val="bottom"/>
            <w:shd w:val="clear" w:color="auto" w:fill="1D2758"/>
          </w:tcPr>
          <w:p>
            <w:pPr>
              <w:spacing w:after="0"/>
              <w:rPr>
                <w:sz w:val="24"/>
                <w:szCs w:val="24"/>
                <w:color w:val="auto"/>
              </w:rPr>
            </w:pPr>
          </w:p>
        </w:tc>
        <w:tc>
          <w:tcPr>
            <w:tcW w:w="900" w:type="dxa"/>
            <w:vAlign w:val="bottom"/>
            <w:shd w:val="clear" w:color="auto" w:fill="1D2758"/>
          </w:tcPr>
          <w:p>
            <w:pPr>
              <w:spacing w:after="0"/>
              <w:rPr>
                <w:sz w:val="24"/>
                <w:szCs w:val="24"/>
                <w:color w:val="auto"/>
              </w:rPr>
            </w:pPr>
          </w:p>
        </w:tc>
        <w:tc>
          <w:tcPr>
            <w:tcW w:w="260" w:type="dxa"/>
            <w:vAlign w:val="bottom"/>
            <w:shd w:val="clear" w:color="auto" w:fill="1D2758"/>
          </w:tcPr>
          <w:p>
            <w:pPr>
              <w:spacing w:after="0"/>
              <w:rPr>
                <w:sz w:val="24"/>
                <w:szCs w:val="24"/>
                <w:color w:val="auto"/>
              </w:rPr>
            </w:pPr>
          </w:p>
        </w:tc>
        <w:tc>
          <w:tcPr>
            <w:tcW w:w="140" w:type="dxa"/>
            <w:vAlign w:val="bottom"/>
            <w:shd w:val="clear" w:color="auto" w:fill="1D2758"/>
          </w:tcPr>
          <w:p>
            <w:pPr>
              <w:spacing w:after="0"/>
              <w:rPr>
                <w:sz w:val="24"/>
                <w:szCs w:val="24"/>
                <w:color w:val="auto"/>
              </w:rPr>
            </w:pPr>
          </w:p>
        </w:tc>
        <w:tc>
          <w:tcPr>
            <w:tcW w:w="1000" w:type="dxa"/>
            <w:vAlign w:val="bottom"/>
            <w:shd w:val="clear" w:color="auto" w:fill="1D2758"/>
          </w:tcPr>
          <w:p>
            <w:pPr>
              <w:spacing w:after="0"/>
              <w:rPr>
                <w:sz w:val="24"/>
                <w:szCs w:val="24"/>
                <w:color w:val="auto"/>
              </w:rPr>
            </w:pPr>
          </w:p>
        </w:tc>
        <w:tc>
          <w:tcPr>
            <w:tcW w:w="120" w:type="dxa"/>
            <w:vAlign w:val="bottom"/>
            <w:shd w:val="clear" w:color="auto" w:fill="1D2758"/>
          </w:tcPr>
          <w:p>
            <w:pPr>
              <w:spacing w:after="0"/>
              <w:rPr>
                <w:sz w:val="24"/>
                <w:szCs w:val="24"/>
                <w:color w:val="auto"/>
              </w:rPr>
            </w:pPr>
          </w:p>
        </w:tc>
        <w:tc>
          <w:tcPr>
            <w:tcW w:w="110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24"/>
                <w:szCs w:val="24"/>
                <w:color w:val="auto"/>
              </w:rPr>
            </w:pPr>
          </w:p>
        </w:tc>
        <w:tc>
          <w:tcPr>
            <w:tcW w:w="940" w:type="dxa"/>
            <w:vAlign w:val="bottom"/>
            <w:shd w:val="clear" w:color="auto" w:fill="1D2758"/>
          </w:tcPr>
          <w:p>
            <w:pPr>
              <w:spacing w:after="0"/>
              <w:rPr>
                <w:sz w:val="24"/>
                <w:szCs w:val="24"/>
                <w:color w:val="auto"/>
              </w:rPr>
            </w:pPr>
          </w:p>
        </w:tc>
        <w:tc>
          <w:tcPr>
            <w:tcW w:w="220" w:type="dxa"/>
            <w:vAlign w:val="bottom"/>
            <w:shd w:val="clear" w:color="auto" w:fill="1D2758"/>
          </w:tcPr>
          <w:p>
            <w:pPr>
              <w:spacing w:after="0"/>
              <w:rPr>
                <w:sz w:val="24"/>
                <w:szCs w:val="24"/>
                <w:color w:val="auto"/>
              </w:rPr>
            </w:pPr>
          </w:p>
        </w:tc>
        <w:tc>
          <w:tcPr>
            <w:tcW w:w="920" w:type="dxa"/>
            <w:vAlign w:val="bottom"/>
            <w:vMerge w:val="restart"/>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2020" w:type="dxa"/>
            <w:vAlign w:val="bottom"/>
            <w:gridSpan w:val="2"/>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Common Stock</w:t>
            </w:r>
          </w:p>
        </w:tc>
        <w:tc>
          <w:tcPr>
            <w:tcW w:w="26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00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00" w:type="dxa"/>
            <w:vAlign w:val="bottom"/>
            <w:shd w:val="clear" w:color="auto" w:fill="1D2758"/>
          </w:tcPr>
          <w:p>
            <w:pPr>
              <w:jc w:val="center"/>
              <w:ind w:right="23"/>
              <w:spacing w:after="0" w:line="155" w:lineRule="exact"/>
              <w:rPr>
                <w:sz w:val="20"/>
                <w:szCs w:val="20"/>
                <w:color w:val="auto"/>
              </w:rPr>
            </w:pPr>
            <w:r>
              <w:rPr>
                <w:rFonts w:ascii="Arial" w:cs="Arial" w:eastAsia="Arial" w:hAnsi="Arial"/>
                <w:sz w:val="15"/>
                <w:szCs w:val="15"/>
                <w:b w:val="1"/>
                <w:bCs w:val="1"/>
                <w:color w:val="FFFFFF"/>
                <w:w w:val="99"/>
              </w:rPr>
              <w:t>Other</w:t>
            </w:r>
          </w:p>
        </w:tc>
        <w:tc>
          <w:tcPr>
            <w:tcW w:w="220" w:type="dxa"/>
            <w:vAlign w:val="bottom"/>
            <w:shd w:val="clear" w:color="auto" w:fill="1D2758"/>
          </w:tcPr>
          <w:p>
            <w:pPr>
              <w:spacing w:after="0"/>
              <w:rPr>
                <w:sz w:val="13"/>
                <w:szCs w:val="13"/>
                <w:color w:val="auto"/>
              </w:rPr>
            </w:pPr>
          </w:p>
        </w:tc>
        <w:tc>
          <w:tcPr>
            <w:tcW w:w="94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92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220" w:type="dxa"/>
            <w:vAlign w:val="bottom"/>
            <w:shd w:val="clear" w:color="auto" w:fill="1D2758"/>
          </w:tcPr>
          <w:p>
            <w:pPr>
              <w:spacing w:after="0"/>
              <w:rPr>
                <w:sz w:val="10"/>
                <w:szCs w:val="10"/>
                <w:color w:val="auto"/>
              </w:rPr>
            </w:pPr>
          </w:p>
        </w:tc>
        <w:tc>
          <w:tcPr>
            <w:tcW w:w="2020" w:type="dxa"/>
            <w:vAlign w:val="bottom"/>
            <w:gridSpan w:val="2"/>
            <w:vMerge w:val="continue"/>
            <w:shd w:val="clear" w:color="auto" w:fill="1D2758"/>
          </w:tcPr>
          <w:p>
            <w:pPr>
              <w:spacing w:after="0"/>
              <w:rPr>
                <w:sz w:val="10"/>
                <w:szCs w:val="10"/>
                <w:color w:val="auto"/>
              </w:rPr>
            </w:pPr>
          </w:p>
        </w:tc>
        <w:tc>
          <w:tcPr>
            <w:tcW w:w="260" w:type="dxa"/>
            <w:vAlign w:val="bottom"/>
            <w:shd w:val="clear" w:color="auto" w:fill="1D2758"/>
          </w:tcPr>
          <w:p>
            <w:pPr>
              <w:spacing w:after="0"/>
              <w:rPr>
                <w:sz w:val="10"/>
                <w:szCs w:val="10"/>
                <w:color w:val="auto"/>
              </w:rPr>
            </w:pPr>
          </w:p>
        </w:tc>
        <w:tc>
          <w:tcPr>
            <w:tcW w:w="140" w:type="dxa"/>
            <w:vAlign w:val="bottom"/>
            <w:shd w:val="clear" w:color="auto" w:fill="1D2758"/>
          </w:tcPr>
          <w:p>
            <w:pPr>
              <w:spacing w:after="0"/>
              <w:rPr>
                <w:sz w:val="10"/>
                <w:szCs w:val="10"/>
                <w:color w:val="auto"/>
              </w:rPr>
            </w:pPr>
          </w:p>
        </w:tc>
        <w:tc>
          <w:tcPr>
            <w:tcW w:w="1000" w:type="dxa"/>
            <w:vAlign w:val="bottom"/>
            <w:vMerge w:val="restart"/>
            <w:shd w:val="clear" w:color="auto" w:fill="1D2758"/>
          </w:tcPr>
          <w:p>
            <w:pPr>
              <w:jc w:val="right"/>
              <w:ind w:right="103"/>
              <w:spacing w:after="0" w:line="155" w:lineRule="exact"/>
              <w:rPr>
                <w:sz w:val="20"/>
                <w:szCs w:val="20"/>
                <w:color w:val="auto"/>
              </w:rPr>
            </w:pPr>
            <w:r>
              <w:rPr>
                <w:rFonts w:ascii="Arial" w:cs="Arial" w:eastAsia="Arial" w:hAnsi="Arial"/>
                <w:sz w:val="15"/>
                <w:szCs w:val="15"/>
                <w:b w:val="1"/>
                <w:bCs w:val="1"/>
                <w:color w:val="FFFFFF"/>
              </w:rPr>
              <w:t>Additional</w:t>
            </w:r>
          </w:p>
        </w:tc>
        <w:tc>
          <w:tcPr>
            <w:tcW w:w="122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Comprehensive</w:t>
            </w:r>
          </w:p>
        </w:tc>
        <w:tc>
          <w:tcPr>
            <w:tcW w:w="1160" w:type="dxa"/>
            <w:vAlign w:val="bottom"/>
            <w:gridSpan w:val="2"/>
            <w:vMerge w:val="restart"/>
            <w:shd w:val="clear" w:color="auto" w:fill="1D2758"/>
          </w:tcPr>
          <w:p>
            <w:pPr>
              <w:jc w:val="right"/>
              <w:ind w:right="3"/>
              <w:spacing w:after="0" w:line="155"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39"/>
        </w:trPr>
        <w:tc>
          <w:tcPr>
            <w:tcW w:w="42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2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Shares</w:t>
            </w:r>
          </w:p>
        </w:tc>
        <w:tc>
          <w:tcPr>
            <w:tcW w:w="9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60" w:type="dxa"/>
            <w:vAlign w:val="bottom"/>
            <w:shd w:val="clear" w:color="auto" w:fill="1D2758"/>
          </w:tcPr>
          <w:p>
            <w:pPr>
              <w:spacing w:after="0"/>
              <w:rPr>
                <w:sz w:val="3"/>
                <w:szCs w:val="3"/>
                <w:color w:val="auto"/>
              </w:rPr>
            </w:pPr>
          </w:p>
        </w:tc>
        <w:tc>
          <w:tcPr>
            <w:tcW w:w="140" w:type="dxa"/>
            <w:vAlign w:val="bottom"/>
            <w:shd w:val="clear" w:color="auto" w:fill="1D2758"/>
          </w:tcPr>
          <w:p>
            <w:pPr>
              <w:spacing w:after="0"/>
              <w:rPr>
                <w:sz w:val="3"/>
                <w:szCs w:val="3"/>
                <w:color w:val="auto"/>
              </w:rPr>
            </w:pPr>
          </w:p>
        </w:tc>
        <w:tc>
          <w:tcPr>
            <w:tcW w:w="1000" w:type="dxa"/>
            <w:vAlign w:val="bottom"/>
            <w:vMerge w:val="continue"/>
            <w:shd w:val="clear" w:color="auto" w:fill="1D2758"/>
          </w:tcPr>
          <w:p>
            <w:pPr>
              <w:spacing w:after="0"/>
              <w:rPr>
                <w:sz w:val="3"/>
                <w:szCs w:val="3"/>
                <w:color w:val="auto"/>
              </w:rPr>
            </w:pPr>
          </w:p>
        </w:tc>
        <w:tc>
          <w:tcPr>
            <w:tcW w:w="1220" w:type="dxa"/>
            <w:vAlign w:val="bottom"/>
            <w:gridSpan w:val="2"/>
            <w:vMerge w:val="continue"/>
            <w:shd w:val="clear" w:color="auto" w:fill="1D2758"/>
          </w:tcPr>
          <w:p>
            <w:pPr>
              <w:spacing w:after="0"/>
              <w:rPr>
                <w:sz w:val="3"/>
                <w:szCs w:val="3"/>
                <w:color w:val="auto"/>
              </w:rPr>
            </w:pPr>
          </w:p>
        </w:tc>
        <w:tc>
          <w:tcPr>
            <w:tcW w:w="1160" w:type="dxa"/>
            <w:vAlign w:val="bottom"/>
            <w:gridSpan w:val="2"/>
            <w:vMerge w:val="continue"/>
            <w:shd w:val="clear" w:color="auto" w:fill="1D2758"/>
          </w:tcPr>
          <w:p>
            <w:pPr>
              <w:spacing w:after="0"/>
              <w:rPr>
                <w:sz w:val="3"/>
                <w:szCs w:val="3"/>
                <w:color w:val="auto"/>
              </w:rPr>
            </w:pPr>
          </w:p>
        </w:tc>
        <w:tc>
          <w:tcPr>
            <w:tcW w:w="1140" w:type="dxa"/>
            <w:vAlign w:val="bottom"/>
            <w:gridSpan w:val="2"/>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220" w:type="dxa"/>
            <w:vAlign w:val="bottom"/>
            <w:vMerge w:val="continue"/>
            <w:shd w:val="clear" w:color="auto" w:fill="1D2758"/>
          </w:tcPr>
          <w:p>
            <w:pPr>
              <w:spacing w:after="0"/>
              <w:rPr>
                <w:sz w:val="17"/>
                <w:szCs w:val="17"/>
                <w:color w:val="auto"/>
              </w:rPr>
            </w:pPr>
          </w:p>
        </w:tc>
        <w:tc>
          <w:tcPr>
            <w:tcW w:w="1120" w:type="dxa"/>
            <w:vAlign w:val="bottom"/>
            <w:vMerge w:val="continue"/>
            <w:shd w:val="clear" w:color="auto" w:fill="1D2758"/>
          </w:tcPr>
          <w:p>
            <w:pPr>
              <w:spacing w:after="0"/>
              <w:rPr>
                <w:sz w:val="17"/>
                <w:szCs w:val="17"/>
                <w:color w:val="auto"/>
              </w:rPr>
            </w:pPr>
          </w:p>
        </w:tc>
        <w:tc>
          <w:tcPr>
            <w:tcW w:w="90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1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 Capital</w:t>
            </w:r>
          </w:p>
        </w:tc>
        <w:tc>
          <w:tcPr>
            <w:tcW w:w="120" w:type="dxa"/>
            <w:vAlign w:val="bottom"/>
            <w:shd w:val="clear" w:color="auto" w:fill="1D2758"/>
          </w:tcPr>
          <w:p>
            <w:pPr>
              <w:spacing w:after="0"/>
              <w:rPr>
                <w:sz w:val="17"/>
                <w:szCs w:val="17"/>
                <w:color w:val="auto"/>
              </w:rPr>
            </w:pPr>
          </w:p>
        </w:tc>
        <w:tc>
          <w:tcPr>
            <w:tcW w:w="110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17"/>
                <w:szCs w:val="17"/>
                <w:color w:val="auto"/>
              </w:rPr>
            </w:pPr>
          </w:p>
        </w:tc>
        <w:tc>
          <w:tcPr>
            <w:tcW w:w="940" w:type="dxa"/>
            <w:vAlign w:val="bottom"/>
            <w:shd w:val="clear" w:color="auto" w:fill="1D2758"/>
          </w:tcPr>
          <w:p>
            <w:pPr>
              <w:ind w:left="120"/>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223,940</w:t>
            </w:r>
          </w:p>
        </w:tc>
        <w:tc>
          <w:tcPr>
            <w:tcW w:w="900" w:type="dxa"/>
            <w:vAlign w:val="bottom"/>
            <w:shd w:val="clear" w:color="auto" w:fill="DBDBDB"/>
          </w:tcPr>
          <w:p>
            <w:pPr>
              <w:jc w:val="right"/>
              <w:ind w:right="703"/>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c>
          <w:tcPr>
            <w:tcW w:w="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3,616,902</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(1,591,090)</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51,171</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7"/>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22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55"/>
        </w:trPr>
        <w:tc>
          <w:tcPr>
            <w:tcW w:w="4220" w:type="dxa"/>
            <w:vAlign w:val="bottom"/>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498</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6,395</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6,395</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2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(2,064)</w:t>
            </w:r>
          </w:p>
        </w:tc>
        <w:tc>
          <w:tcPr>
            <w:tcW w:w="9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(77,409)</w:t>
            </w:r>
          </w:p>
        </w:tc>
        <w:tc>
          <w:tcPr>
            <w:tcW w:w="12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(77,409)</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120" w:type="dxa"/>
            <w:vAlign w:val="bottom"/>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220" w:type="dxa"/>
            <w:vAlign w:val="bottom"/>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800</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3,313</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and warrants</w:t>
            </w:r>
          </w:p>
        </w:tc>
        <w:tc>
          <w:tcPr>
            <w:tcW w:w="11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2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(12,295)</w:t>
            </w:r>
          </w:p>
        </w:tc>
        <w:tc>
          <w:tcPr>
            <w:tcW w:w="12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120" w:type="dxa"/>
            <w:vAlign w:val="bottom"/>
          </w:tcPr>
          <w:p>
            <w:pPr>
              <w:jc w:val="right"/>
              <w:spacing w:after="0"/>
              <w:rPr>
                <w:sz w:val="20"/>
                <w:szCs w:val="20"/>
                <w:color w:val="auto"/>
              </w:rPr>
            </w:pPr>
            <w:r>
              <w:rPr>
                <w:rFonts w:ascii="Arial" w:cs="Arial" w:eastAsia="Arial" w:hAnsi="Arial"/>
                <w:sz w:val="15"/>
                <w:szCs w:val="15"/>
                <w:color w:val="auto"/>
              </w:rPr>
              <w:t>223,174</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3,536,906</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(30,824)</w:t>
            </w:r>
          </w:p>
        </w:tc>
        <w:tc>
          <w:tcPr>
            <w:tcW w:w="220" w:type="dxa"/>
            <w:vAlign w:val="bottom"/>
          </w:tcPr>
          <w:p>
            <w:pPr>
              <w:spacing w:after="0"/>
              <w:rPr>
                <w:sz w:val="17"/>
                <w:szCs w:val="17"/>
                <w:color w:val="auto"/>
              </w:rPr>
            </w:pPr>
          </w:p>
        </w:tc>
        <w:tc>
          <w:tcPr>
            <w:tcW w:w="940" w:type="dxa"/>
            <w:vAlign w:val="bottom"/>
          </w:tcPr>
          <w:p>
            <w:pPr>
              <w:ind w:left="120"/>
              <w:spacing w:after="0"/>
              <w:rPr>
                <w:sz w:val="20"/>
                <w:szCs w:val="20"/>
                <w:color w:val="auto"/>
              </w:rPr>
            </w:pPr>
            <w:r>
              <w:rPr>
                <w:rFonts w:ascii="Arial" w:cs="Arial" w:eastAsia="Arial" w:hAnsi="Arial"/>
                <w:sz w:val="15"/>
                <w:szCs w:val="15"/>
                <w:color w:val="auto"/>
              </w:rPr>
              <w:t>(1,539,919)</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1,966,185</w:t>
            </w:r>
          </w:p>
        </w:tc>
        <w:tc>
          <w:tcPr>
            <w:tcW w:w="0" w:type="dxa"/>
            <w:vAlign w:val="bottom"/>
          </w:tcPr>
          <w:p>
            <w:pPr>
              <w:spacing w:after="0"/>
              <w:rPr>
                <w:sz w:val="1"/>
                <w:szCs w:val="1"/>
                <w:color w:val="auto"/>
              </w:rPr>
            </w:pPr>
          </w:p>
        </w:tc>
      </w:tr>
      <w:tr>
        <w:trPr>
          <w:trHeight w:val="207"/>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(24,452)</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(24,452)</w:t>
            </w:r>
          </w:p>
        </w:tc>
        <w:tc>
          <w:tcPr>
            <w:tcW w:w="0" w:type="dxa"/>
            <w:vAlign w:val="bottom"/>
          </w:tcPr>
          <w:p>
            <w:pPr>
              <w:spacing w:after="0"/>
              <w:rPr>
                <w:sz w:val="1"/>
                <w:szCs w:val="1"/>
                <w:color w:val="auto"/>
              </w:rPr>
            </w:pPr>
          </w:p>
        </w:tc>
      </w:tr>
      <w:tr>
        <w:trPr>
          <w:trHeight w:val="156"/>
        </w:trPr>
        <w:tc>
          <w:tcPr>
            <w:tcW w:w="42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70</w:t>
            </w:r>
          </w:p>
        </w:tc>
        <w:tc>
          <w:tcPr>
            <w:tcW w:w="9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9,292</w:t>
            </w:r>
          </w:p>
        </w:tc>
        <w:tc>
          <w:tcPr>
            <w:tcW w:w="12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9,292</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220" w:type="dxa"/>
            <w:vAlign w:val="bottom"/>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(7,222)</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(249,515)</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(249,515)</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warrants</w:t>
            </w:r>
          </w:p>
        </w:tc>
        <w:tc>
          <w:tcPr>
            <w:tcW w:w="11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2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69</w:t>
            </w:r>
          </w:p>
        </w:tc>
        <w:tc>
          <w:tcPr>
            <w:tcW w:w="9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139</w:t>
            </w:r>
          </w:p>
        </w:tc>
        <w:tc>
          <w:tcPr>
            <w:tcW w:w="12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and warrants</w:t>
            </w:r>
          </w:p>
        </w:tc>
        <w:tc>
          <w:tcPr>
            <w:tcW w:w="1120" w:type="dxa"/>
            <w:vAlign w:val="bottom"/>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60" w:type="dxa"/>
            <w:vAlign w:val="bottom"/>
            <w:vMerge w:val="continue"/>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22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(1,075)</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(1,075)</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2022</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216,091</w:t>
            </w:r>
          </w:p>
        </w:tc>
        <w:tc>
          <w:tcPr>
            <w:tcW w:w="900" w:type="dxa"/>
            <w:vAlign w:val="bottom"/>
            <w:shd w:val="clear" w:color="auto" w:fill="DBDBDB"/>
          </w:tcPr>
          <w:p>
            <w:pPr>
              <w:spacing w:after="0"/>
              <w:rPr>
                <w:sz w:val="17"/>
                <w:szCs w:val="17"/>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3,295,747</w:t>
            </w:r>
          </w:p>
        </w:tc>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220" w:type="dxa"/>
            <w:vAlign w:val="bottom"/>
            <w:shd w:val="clear" w:color="auto" w:fill="DBDBDB"/>
          </w:tcPr>
          <w:p>
            <w:pPr>
              <w:spacing w:after="0"/>
              <w:rPr>
                <w:sz w:val="17"/>
                <w:szCs w:val="17"/>
                <w:color w:val="auto"/>
              </w:rPr>
            </w:pPr>
          </w:p>
        </w:tc>
        <w:tc>
          <w:tcPr>
            <w:tcW w:w="9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(1,466,543)</w:t>
            </w:r>
          </w:p>
        </w:tc>
        <w:tc>
          <w:tcPr>
            <w:tcW w:w="2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1,773,950</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128,593</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128,593</w:t>
            </w:r>
          </w:p>
        </w:tc>
        <w:tc>
          <w:tcPr>
            <w:tcW w:w="0" w:type="dxa"/>
            <w:vAlign w:val="bottom"/>
          </w:tcPr>
          <w:p>
            <w:pPr>
              <w:spacing w:after="0"/>
              <w:rPr>
                <w:sz w:val="1"/>
                <w:szCs w:val="1"/>
                <w:color w:val="auto"/>
              </w:rPr>
            </w:pPr>
          </w:p>
        </w:tc>
      </w:tr>
      <w:tr>
        <w:trPr>
          <w:trHeight w:val="207"/>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(37,733)</w:t>
            </w:r>
          </w:p>
        </w:tc>
        <w:tc>
          <w:tcPr>
            <w:tcW w:w="22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i w:val="1"/>
                <w:iCs w:val="1"/>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(37,733)</w:t>
            </w:r>
          </w:p>
        </w:tc>
        <w:tc>
          <w:tcPr>
            <w:tcW w:w="0" w:type="dxa"/>
            <w:vAlign w:val="bottom"/>
          </w:tcPr>
          <w:p>
            <w:pPr>
              <w:spacing w:after="0"/>
              <w:rPr>
                <w:sz w:val="1"/>
                <w:szCs w:val="1"/>
                <w:color w:val="auto"/>
              </w:rPr>
            </w:pPr>
          </w:p>
        </w:tc>
      </w:tr>
      <w:tr>
        <w:trPr>
          <w:trHeight w:val="155"/>
        </w:trPr>
        <w:tc>
          <w:tcPr>
            <w:tcW w:w="4220" w:type="dxa"/>
            <w:vAlign w:val="bottom"/>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9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6,941</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i w:val="1"/>
                <w:iCs w:val="1"/>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6,941</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Stock from vesting</w:t>
            </w:r>
          </w:p>
        </w:tc>
        <w:tc>
          <w:tcPr>
            <w:tcW w:w="11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(5,271)</w:t>
            </w:r>
          </w:p>
        </w:tc>
        <w:tc>
          <w:tcPr>
            <w:tcW w:w="900" w:type="dxa"/>
            <w:vAlign w:val="bottom"/>
            <w:shd w:val="clear" w:color="auto" w:fill="DBDBDB"/>
          </w:tcPr>
          <w:p>
            <w:pPr>
              <w:spacing w:after="0"/>
              <w:rPr>
                <w:sz w:val="18"/>
                <w:szCs w:val="18"/>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(197,457)</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(197,457)</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20" w:type="dxa"/>
            <w:vAlign w:val="bottom"/>
          </w:tcPr>
          <w:p>
            <w:pPr>
              <w:jc w:val="right"/>
              <w:spacing w:after="0"/>
              <w:rPr>
                <w:sz w:val="20"/>
                <w:szCs w:val="20"/>
                <w:color w:val="auto"/>
              </w:rPr>
            </w:pPr>
            <w:r>
              <w:rPr>
                <w:rFonts w:ascii="Arial" w:cs="Arial" w:eastAsia="Arial" w:hAnsi="Arial"/>
                <w:sz w:val="15"/>
                <w:szCs w:val="15"/>
                <w:color w:val="auto"/>
              </w:rPr>
              <w:t>398</w:t>
            </w:r>
          </w:p>
        </w:tc>
        <w:tc>
          <w:tcPr>
            <w:tcW w:w="9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7,363</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7,363</w:t>
            </w:r>
          </w:p>
        </w:tc>
        <w:tc>
          <w:tcPr>
            <w:tcW w:w="0" w:type="dxa"/>
            <w:vAlign w:val="bottom"/>
          </w:tcPr>
          <w:p>
            <w:pPr>
              <w:spacing w:after="0"/>
              <w:rPr>
                <w:sz w:val="1"/>
                <w:szCs w:val="1"/>
                <w:color w:val="auto"/>
              </w:rPr>
            </w:pPr>
          </w:p>
        </w:tc>
      </w:tr>
      <w:tr>
        <w:trPr>
          <w:trHeight w:val="156"/>
        </w:trPr>
        <w:tc>
          <w:tcPr>
            <w:tcW w:w="42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3"/>
                <w:szCs w:val="13"/>
                <w:color w:val="auto"/>
              </w:rPr>
            </w:pPr>
          </w:p>
        </w:tc>
        <w:tc>
          <w:tcPr>
            <w:tcW w:w="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(518)</w:t>
            </w:r>
          </w:p>
        </w:tc>
        <w:tc>
          <w:tcPr>
            <w:tcW w:w="12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compensation</w:t>
            </w: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vMerge w:val="continue"/>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5"/>
                <w:szCs w:val="15"/>
                <w:color w:val="auto"/>
              </w:rPr>
              <w:t>Balance at September 30,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211,244</w:t>
            </w:r>
          </w:p>
        </w:tc>
        <w:tc>
          <w:tcPr>
            <w:tcW w:w="90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3,112,076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(93,009)</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(1,337,950)</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1,681,139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60" w:top="586"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3960" w:type="dxa"/>
            <w:vAlign w:val="bottom"/>
            <w:shd w:val="clear" w:color="auto" w:fill="1D2758"/>
          </w:tcPr>
          <w:p>
            <w:pPr>
              <w:spacing w:after="0"/>
              <w:rPr>
                <w:sz w:val="17"/>
                <w:szCs w:val="17"/>
                <w:color w:val="auto"/>
              </w:rPr>
            </w:pPr>
          </w:p>
        </w:tc>
        <w:tc>
          <w:tcPr>
            <w:tcW w:w="3700" w:type="dxa"/>
            <w:vAlign w:val="bottom"/>
            <w:gridSpan w:val="6"/>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Nine Months Ended September 30, 2021</w:t>
            </w:r>
          </w:p>
        </w:tc>
        <w:tc>
          <w:tcPr>
            <w:tcW w:w="12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396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1180" w:type="dxa"/>
            <w:vAlign w:val="bottom"/>
            <w:shd w:val="clear" w:color="auto" w:fill="1D2758"/>
          </w:tcPr>
          <w:p>
            <w:pPr>
              <w:spacing w:after="0"/>
              <w:rPr>
                <w:sz w:val="24"/>
                <w:szCs w:val="24"/>
                <w:color w:val="auto"/>
              </w:rPr>
            </w:pPr>
          </w:p>
        </w:tc>
        <w:tc>
          <w:tcPr>
            <w:tcW w:w="900" w:type="dxa"/>
            <w:vAlign w:val="bottom"/>
            <w:shd w:val="clear" w:color="auto" w:fill="1D2758"/>
          </w:tcPr>
          <w:p>
            <w:pPr>
              <w:spacing w:after="0"/>
              <w:rPr>
                <w:sz w:val="24"/>
                <w:szCs w:val="24"/>
                <w:color w:val="auto"/>
              </w:rPr>
            </w:pPr>
          </w:p>
        </w:tc>
        <w:tc>
          <w:tcPr>
            <w:tcW w:w="28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1020" w:type="dxa"/>
            <w:vAlign w:val="bottom"/>
            <w:shd w:val="clear" w:color="auto" w:fill="1D2758"/>
          </w:tcPr>
          <w:p>
            <w:pPr>
              <w:spacing w:after="0"/>
              <w:rPr>
                <w:sz w:val="24"/>
                <w:szCs w:val="24"/>
                <w:color w:val="auto"/>
              </w:rPr>
            </w:pPr>
          </w:p>
        </w:tc>
        <w:tc>
          <w:tcPr>
            <w:tcW w:w="120" w:type="dxa"/>
            <w:vAlign w:val="bottom"/>
            <w:shd w:val="clear" w:color="auto" w:fill="1D2758"/>
          </w:tcPr>
          <w:p>
            <w:pPr>
              <w:spacing w:after="0"/>
              <w:rPr>
                <w:sz w:val="24"/>
                <w:szCs w:val="24"/>
                <w:color w:val="auto"/>
              </w:rPr>
            </w:pPr>
          </w:p>
        </w:tc>
        <w:tc>
          <w:tcPr>
            <w:tcW w:w="108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Accumulated</w:t>
            </w:r>
          </w:p>
        </w:tc>
        <w:tc>
          <w:tcPr>
            <w:tcW w:w="120" w:type="dxa"/>
            <w:vAlign w:val="bottom"/>
            <w:shd w:val="clear" w:color="auto" w:fill="1D2758"/>
          </w:tcPr>
          <w:p>
            <w:pPr>
              <w:spacing w:after="0"/>
              <w:rPr>
                <w:sz w:val="24"/>
                <w:szCs w:val="24"/>
                <w:color w:val="auto"/>
              </w:rPr>
            </w:pPr>
          </w:p>
        </w:tc>
        <w:tc>
          <w:tcPr>
            <w:tcW w:w="1080" w:type="dxa"/>
            <w:vAlign w:val="bottom"/>
            <w:shd w:val="clear" w:color="auto" w:fill="1D2758"/>
          </w:tcPr>
          <w:p>
            <w:pPr>
              <w:spacing w:after="0"/>
              <w:rPr>
                <w:sz w:val="24"/>
                <w:szCs w:val="24"/>
                <w:color w:val="auto"/>
              </w:rPr>
            </w:pPr>
          </w:p>
        </w:tc>
        <w:tc>
          <w:tcPr>
            <w:tcW w:w="220" w:type="dxa"/>
            <w:vAlign w:val="bottom"/>
            <w:shd w:val="clear" w:color="auto" w:fill="1D2758"/>
          </w:tcPr>
          <w:p>
            <w:pPr>
              <w:spacing w:after="0"/>
              <w:rPr>
                <w:sz w:val="24"/>
                <w:szCs w:val="24"/>
                <w:color w:val="auto"/>
              </w:rPr>
            </w:pPr>
          </w:p>
        </w:tc>
        <w:tc>
          <w:tcPr>
            <w:tcW w:w="960" w:type="dxa"/>
            <w:vAlign w:val="bottom"/>
            <w:vMerge w:val="restart"/>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396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2080" w:type="dxa"/>
            <w:vAlign w:val="bottom"/>
            <w:gridSpan w:val="2"/>
            <w:vMerge w:val="restart"/>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Common Stock</w:t>
            </w:r>
          </w:p>
        </w:tc>
        <w:tc>
          <w:tcPr>
            <w:tcW w:w="28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02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080" w:type="dxa"/>
            <w:vAlign w:val="bottom"/>
            <w:shd w:val="clear" w:color="auto" w:fill="1D2758"/>
          </w:tcPr>
          <w:p>
            <w:pPr>
              <w:jc w:val="center"/>
              <w:ind w:right="23"/>
              <w:spacing w:after="0" w:line="155" w:lineRule="exact"/>
              <w:rPr>
                <w:sz w:val="20"/>
                <w:szCs w:val="20"/>
                <w:color w:val="auto"/>
              </w:rPr>
            </w:pPr>
            <w:r>
              <w:rPr>
                <w:rFonts w:ascii="Arial" w:cs="Arial" w:eastAsia="Arial" w:hAnsi="Arial"/>
                <w:sz w:val="15"/>
                <w:szCs w:val="15"/>
                <w:b w:val="1"/>
                <w:bCs w:val="1"/>
                <w:color w:val="FFFFFF"/>
              </w:rPr>
              <w:t>Other</w:t>
            </w:r>
          </w:p>
        </w:tc>
        <w:tc>
          <w:tcPr>
            <w:tcW w:w="120" w:type="dxa"/>
            <w:vAlign w:val="bottom"/>
            <w:shd w:val="clear" w:color="auto" w:fill="1D2758"/>
          </w:tcPr>
          <w:p>
            <w:pPr>
              <w:spacing w:after="0"/>
              <w:rPr>
                <w:sz w:val="13"/>
                <w:szCs w:val="13"/>
                <w:color w:val="auto"/>
              </w:rPr>
            </w:pPr>
          </w:p>
        </w:tc>
        <w:tc>
          <w:tcPr>
            <w:tcW w:w="108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96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960" w:type="dxa"/>
            <w:vAlign w:val="bottom"/>
            <w:shd w:val="clear" w:color="auto" w:fill="1D2758"/>
          </w:tcPr>
          <w:p>
            <w:pPr>
              <w:spacing w:after="0"/>
              <w:rPr>
                <w:sz w:val="10"/>
                <w:szCs w:val="10"/>
                <w:color w:val="auto"/>
              </w:rPr>
            </w:pPr>
          </w:p>
        </w:tc>
        <w:tc>
          <w:tcPr>
            <w:tcW w:w="160" w:type="dxa"/>
            <w:vAlign w:val="bottom"/>
            <w:shd w:val="clear" w:color="auto" w:fill="1D2758"/>
          </w:tcPr>
          <w:p>
            <w:pPr>
              <w:spacing w:after="0"/>
              <w:rPr>
                <w:sz w:val="10"/>
                <w:szCs w:val="10"/>
                <w:color w:val="auto"/>
              </w:rPr>
            </w:pPr>
          </w:p>
        </w:tc>
        <w:tc>
          <w:tcPr>
            <w:tcW w:w="2080" w:type="dxa"/>
            <w:vAlign w:val="bottom"/>
            <w:gridSpan w:val="2"/>
            <w:vMerge w:val="continue"/>
            <w:shd w:val="clear" w:color="auto" w:fill="1D2758"/>
          </w:tcPr>
          <w:p>
            <w:pPr>
              <w:spacing w:after="0"/>
              <w:rPr>
                <w:sz w:val="10"/>
                <w:szCs w:val="10"/>
                <w:color w:val="auto"/>
              </w:rPr>
            </w:pPr>
          </w:p>
        </w:tc>
        <w:tc>
          <w:tcPr>
            <w:tcW w:w="280" w:type="dxa"/>
            <w:vAlign w:val="bottom"/>
            <w:shd w:val="clear" w:color="auto" w:fill="1D2758"/>
          </w:tcPr>
          <w:p>
            <w:pPr>
              <w:spacing w:after="0"/>
              <w:rPr>
                <w:sz w:val="10"/>
                <w:szCs w:val="10"/>
                <w:color w:val="auto"/>
              </w:rPr>
            </w:pPr>
          </w:p>
        </w:tc>
        <w:tc>
          <w:tcPr>
            <w:tcW w:w="160" w:type="dxa"/>
            <w:vAlign w:val="bottom"/>
            <w:shd w:val="clear" w:color="auto" w:fill="1D2758"/>
          </w:tcPr>
          <w:p>
            <w:pPr>
              <w:spacing w:after="0"/>
              <w:rPr>
                <w:sz w:val="10"/>
                <w:szCs w:val="10"/>
                <w:color w:val="auto"/>
              </w:rPr>
            </w:pPr>
          </w:p>
        </w:tc>
        <w:tc>
          <w:tcPr>
            <w:tcW w:w="1020" w:type="dxa"/>
            <w:vAlign w:val="bottom"/>
            <w:vMerge w:val="restart"/>
            <w:shd w:val="clear" w:color="auto" w:fill="1D2758"/>
          </w:tcPr>
          <w:p>
            <w:pPr>
              <w:jc w:val="right"/>
              <w:ind w:right="143"/>
              <w:spacing w:after="0" w:line="155" w:lineRule="exact"/>
              <w:rPr>
                <w:sz w:val="20"/>
                <w:szCs w:val="20"/>
                <w:color w:val="auto"/>
              </w:rPr>
            </w:pPr>
            <w:r>
              <w:rPr>
                <w:rFonts w:ascii="Arial" w:cs="Arial" w:eastAsia="Arial" w:hAnsi="Arial"/>
                <w:sz w:val="15"/>
                <w:szCs w:val="15"/>
                <w:b w:val="1"/>
                <w:bCs w:val="1"/>
                <w:color w:val="FFFFFF"/>
              </w:rPr>
              <w:t>Additional</w:t>
            </w:r>
          </w:p>
        </w:tc>
        <w:tc>
          <w:tcPr>
            <w:tcW w:w="120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Comprehensive</w:t>
            </w:r>
          </w:p>
        </w:tc>
        <w:tc>
          <w:tcPr>
            <w:tcW w:w="120" w:type="dxa"/>
            <w:vAlign w:val="bottom"/>
            <w:shd w:val="clear" w:color="auto" w:fill="1D2758"/>
          </w:tcPr>
          <w:p>
            <w:pPr>
              <w:spacing w:after="0"/>
              <w:rPr>
                <w:sz w:val="10"/>
                <w:szCs w:val="10"/>
                <w:color w:val="auto"/>
              </w:rPr>
            </w:pPr>
          </w:p>
        </w:tc>
        <w:tc>
          <w:tcPr>
            <w:tcW w:w="1080" w:type="dxa"/>
            <w:vAlign w:val="bottom"/>
            <w:vMerge w:val="restart"/>
            <w:shd w:val="clear" w:color="auto" w:fill="1D2758"/>
          </w:tcPr>
          <w:p>
            <w:pPr>
              <w:jc w:val="right"/>
              <w:ind w:right="23"/>
              <w:spacing w:after="0" w:line="155" w:lineRule="exact"/>
              <w:rPr>
                <w:sz w:val="20"/>
                <w:szCs w:val="20"/>
                <w:color w:val="auto"/>
              </w:rPr>
            </w:pPr>
            <w:r>
              <w:rPr>
                <w:rFonts w:ascii="Arial" w:cs="Arial" w:eastAsia="Arial" w:hAnsi="Arial"/>
                <w:sz w:val="15"/>
                <w:szCs w:val="15"/>
                <w:b w:val="1"/>
                <w:bCs w:val="1"/>
                <w:color w:val="FFFFFF"/>
              </w:rPr>
              <w:t>Accumulated</w:t>
            </w:r>
          </w:p>
        </w:tc>
        <w:tc>
          <w:tcPr>
            <w:tcW w:w="118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39"/>
        </w:trPr>
        <w:tc>
          <w:tcPr>
            <w:tcW w:w="39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3"/>
                <w:szCs w:val="3"/>
                <w:color w:val="auto"/>
              </w:rPr>
            </w:pPr>
          </w:p>
        </w:tc>
        <w:tc>
          <w:tcPr>
            <w:tcW w:w="118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Shares</w:t>
            </w:r>
          </w:p>
        </w:tc>
        <w:tc>
          <w:tcPr>
            <w:tcW w:w="9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80" w:type="dxa"/>
            <w:vAlign w:val="bottom"/>
            <w:shd w:val="clear" w:color="auto" w:fill="1D2758"/>
          </w:tcPr>
          <w:p>
            <w:pPr>
              <w:spacing w:after="0"/>
              <w:rPr>
                <w:sz w:val="3"/>
                <w:szCs w:val="3"/>
                <w:color w:val="auto"/>
              </w:rPr>
            </w:pPr>
          </w:p>
        </w:tc>
        <w:tc>
          <w:tcPr>
            <w:tcW w:w="160" w:type="dxa"/>
            <w:vAlign w:val="bottom"/>
            <w:shd w:val="clear" w:color="auto" w:fill="1D2758"/>
          </w:tcPr>
          <w:p>
            <w:pPr>
              <w:spacing w:after="0"/>
              <w:rPr>
                <w:sz w:val="3"/>
                <w:szCs w:val="3"/>
                <w:color w:val="auto"/>
              </w:rPr>
            </w:pPr>
          </w:p>
        </w:tc>
        <w:tc>
          <w:tcPr>
            <w:tcW w:w="1020" w:type="dxa"/>
            <w:vAlign w:val="bottom"/>
            <w:vMerge w:val="continue"/>
            <w:shd w:val="clear" w:color="auto" w:fill="1D2758"/>
          </w:tcPr>
          <w:p>
            <w:pPr>
              <w:spacing w:after="0"/>
              <w:rPr>
                <w:sz w:val="3"/>
                <w:szCs w:val="3"/>
                <w:color w:val="auto"/>
              </w:rPr>
            </w:pPr>
          </w:p>
        </w:tc>
        <w:tc>
          <w:tcPr>
            <w:tcW w:w="1200" w:type="dxa"/>
            <w:vAlign w:val="bottom"/>
            <w:gridSpan w:val="2"/>
            <w:vMerge w:val="continue"/>
            <w:shd w:val="clear" w:color="auto" w:fill="1D2758"/>
          </w:tcPr>
          <w:p>
            <w:pPr>
              <w:spacing w:after="0"/>
              <w:rPr>
                <w:sz w:val="3"/>
                <w:szCs w:val="3"/>
                <w:color w:val="auto"/>
              </w:rPr>
            </w:pPr>
          </w:p>
        </w:tc>
        <w:tc>
          <w:tcPr>
            <w:tcW w:w="120" w:type="dxa"/>
            <w:vAlign w:val="bottom"/>
            <w:shd w:val="clear" w:color="auto" w:fill="1D2758"/>
          </w:tcPr>
          <w:p>
            <w:pPr>
              <w:spacing w:after="0"/>
              <w:rPr>
                <w:sz w:val="3"/>
                <w:szCs w:val="3"/>
                <w:color w:val="auto"/>
              </w:rPr>
            </w:pPr>
          </w:p>
        </w:tc>
        <w:tc>
          <w:tcPr>
            <w:tcW w:w="1080" w:type="dxa"/>
            <w:vAlign w:val="bottom"/>
            <w:vMerge w:val="continue"/>
            <w:shd w:val="clear" w:color="auto" w:fill="1D2758"/>
          </w:tcPr>
          <w:p>
            <w:pPr>
              <w:spacing w:after="0"/>
              <w:rPr>
                <w:sz w:val="3"/>
                <w:szCs w:val="3"/>
                <w:color w:val="auto"/>
              </w:rPr>
            </w:pPr>
          </w:p>
        </w:tc>
        <w:tc>
          <w:tcPr>
            <w:tcW w:w="1180" w:type="dxa"/>
            <w:vAlign w:val="bottom"/>
            <w:gridSpan w:val="2"/>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960" w:type="dxa"/>
            <w:vAlign w:val="bottom"/>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180" w:type="dxa"/>
            <w:vAlign w:val="bottom"/>
            <w:vMerge w:val="continue"/>
            <w:shd w:val="clear" w:color="auto" w:fill="1D2758"/>
          </w:tcPr>
          <w:p>
            <w:pPr>
              <w:spacing w:after="0"/>
              <w:rPr>
                <w:sz w:val="17"/>
                <w:szCs w:val="17"/>
                <w:color w:val="auto"/>
              </w:rPr>
            </w:pPr>
          </w:p>
        </w:tc>
        <w:tc>
          <w:tcPr>
            <w:tcW w:w="900" w:type="dxa"/>
            <w:vAlign w:val="bottom"/>
            <w:vMerge w:val="continue"/>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1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Paid-in Capital</w:t>
            </w:r>
          </w:p>
        </w:tc>
        <w:tc>
          <w:tcPr>
            <w:tcW w:w="120" w:type="dxa"/>
            <w:vAlign w:val="bottom"/>
            <w:shd w:val="clear" w:color="auto" w:fill="1D2758"/>
          </w:tcPr>
          <w:p>
            <w:pPr>
              <w:spacing w:after="0"/>
              <w:rPr>
                <w:sz w:val="17"/>
                <w:szCs w:val="17"/>
                <w:color w:val="auto"/>
              </w:rPr>
            </w:pPr>
          </w:p>
        </w:tc>
        <w:tc>
          <w:tcPr>
            <w:tcW w:w="108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1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6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229,038</w:t>
            </w:r>
          </w:p>
        </w:tc>
        <w:tc>
          <w:tcPr>
            <w:tcW w:w="900" w:type="dxa"/>
            <w:vAlign w:val="bottom"/>
            <w:shd w:val="clear" w:color="auto" w:fill="DBDBDB"/>
          </w:tcPr>
          <w:p>
            <w:pPr>
              <w:jc w:val="right"/>
              <w:ind w:right="723"/>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3,852,291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(1,751,234)</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2,063,873</w:t>
            </w:r>
          </w:p>
        </w:tc>
        <w:tc>
          <w:tcPr>
            <w:tcW w:w="0" w:type="dxa"/>
            <w:vAlign w:val="bottom"/>
          </w:tcPr>
          <w:p>
            <w:pPr>
              <w:spacing w:after="0"/>
              <w:rPr>
                <w:sz w:val="1"/>
                <w:szCs w:val="1"/>
                <w:color w:val="auto"/>
              </w:rPr>
            </w:pPr>
          </w:p>
        </w:tc>
      </w:tr>
      <w:tr>
        <w:trPr>
          <w:trHeight w:val="205"/>
        </w:trPr>
        <w:tc>
          <w:tcPr>
            <w:tcW w:w="39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4,447</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4,447</w:t>
            </w:r>
          </w:p>
        </w:tc>
        <w:tc>
          <w:tcPr>
            <w:tcW w:w="0" w:type="dxa"/>
            <w:vAlign w:val="bottom"/>
          </w:tcPr>
          <w:p>
            <w:pPr>
              <w:spacing w:after="0"/>
              <w:rPr>
                <w:sz w:val="1"/>
                <w:szCs w:val="1"/>
                <w:color w:val="auto"/>
              </w:rPr>
            </w:pPr>
          </w:p>
        </w:tc>
      </w:tr>
      <w:tr>
        <w:trPr>
          <w:trHeight w:val="207"/>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0" w:type="dxa"/>
            <w:vAlign w:val="bottom"/>
          </w:tcPr>
          <w:p>
            <w:pPr>
              <w:spacing w:after="0"/>
              <w:rPr>
                <w:sz w:val="1"/>
                <w:szCs w:val="1"/>
                <w:color w:val="auto"/>
              </w:rPr>
            </w:pPr>
          </w:p>
        </w:tc>
      </w:tr>
      <w:tr>
        <w:trPr>
          <w:trHeight w:val="155"/>
        </w:trPr>
        <w:tc>
          <w:tcPr>
            <w:tcW w:w="3960" w:type="dxa"/>
            <w:vAlign w:val="bottom"/>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229</w:t>
            </w:r>
          </w:p>
        </w:tc>
        <w:tc>
          <w:tcPr>
            <w:tcW w:w="90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4,951</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4,951</w:t>
            </w:r>
          </w:p>
        </w:tc>
        <w:tc>
          <w:tcPr>
            <w:tcW w:w="0" w:type="dxa"/>
            <w:vAlign w:val="bottom"/>
          </w:tcPr>
          <w:p>
            <w:pPr>
              <w:spacing w:after="0"/>
              <w:rPr>
                <w:sz w:val="1"/>
                <w:szCs w:val="1"/>
                <w:color w:val="auto"/>
              </w:rPr>
            </w:pPr>
          </w:p>
        </w:tc>
      </w:tr>
      <w:tr>
        <w:trPr>
          <w:trHeight w:val="205"/>
        </w:trPr>
        <w:tc>
          <w:tcPr>
            <w:tcW w:w="3960" w:type="dxa"/>
            <w:vAlign w:val="bottom"/>
          </w:tcPr>
          <w:p>
            <w:pPr>
              <w:ind w:left="220"/>
              <w:spacing w:after="0"/>
              <w:rPr>
                <w:sz w:val="20"/>
                <w:szCs w:val="20"/>
                <w:color w:val="auto"/>
              </w:rPr>
            </w:pPr>
            <w:r>
              <w:rPr>
                <w:rFonts w:ascii="Arial" w:cs="Arial" w:eastAsia="Arial" w:hAnsi="Arial"/>
                <w:sz w:val="15"/>
                <w:szCs w:val="15"/>
                <w:color w:val="auto"/>
              </w:rPr>
              <w:t>Stock from vesting</w:t>
            </w:r>
          </w:p>
        </w:tc>
        <w:tc>
          <w:tcPr>
            <w:tcW w:w="13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340" w:type="dxa"/>
            <w:vAlign w:val="bottom"/>
            <w:gridSpan w:val="2"/>
            <w:vMerge w:val="restart"/>
            <w:shd w:val="clear" w:color="auto" w:fill="DBDBDB"/>
          </w:tcPr>
          <w:p>
            <w:pPr>
              <w:jc w:val="right"/>
              <w:spacing w:after="0"/>
              <w:rPr>
                <w:sz w:val="20"/>
                <w:szCs w:val="20"/>
                <w:color w:val="auto"/>
              </w:rPr>
            </w:pPr>
            <w:r>
              <w:rPr>
                <w:rFonts w:ascii="Arial" w:cs="Arial" w:eastAsia="Arial" w:hAnsi="Arial"/>
                <w:sz w:val="15"/>
                <w:szCs w:val="15"/>
                <w:color w:val="auto"/>
              </w:rPr>
              <w:t>(2,793)</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(76,788)</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(76,788)</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340" w:type="dxa"/>
            <w:vAlign w:val="bottom"/>
            <w:gridSpan w:val="2"/>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300" w:type="dxa"/>
            <w:vAlign w:val="bottom"/>
            <w:gridSpan w:val="3"/>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 options</w:t>
            </w:r>
          </w:p>
        </w:tc>
        <w:tc>
          <w:tcPr>
            <w:tcW w:w="90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5,414</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5,414</w:t>
            </w:r>
          </w:p>
        </w:tc>
        <w:tc>
          <w:tcPr>
            <w:tcW w:w="0" w:type="dxa"/>
            <w:vAlign w:val="bottom"/>
          </w:tcPr>
          <w:p>
            <w:pPr>
              <w:spacing w:after="0"/>
              <w:rPr>
                <w:sz w:val="1"/>
                <w:szCs w:val="1"/>
                <w:color w:val="auto"/>
              </w:rPr>
            </w:pPr>
          </w:p>
        </w:tc>
      </w:tr>
      <w:tr>
        <w:trPr>
          <w:trHeight w:val="205"/>
        </w:trPr>
        <w:tc>
          <w:tcPr>
            <w:tcW w:w="3960" w:type="dxa"/>
            <w:vAlign w:val="bottom"/>
          </w:tcPr>
          <w:p>
            <w:pPr>
              <w:ind w:left="220"/>
              <w:spacing w:after="0"/>
              <w:rPr>
                <w:sz w:val="20"/>
                <w:szCs w:val="20"/>
                <w:color w:val="auto"/>
              </w:rPr>
            </w:pPr>
            <w:r>
              <w:rPr>
                <w:rFonts w:ascii="Arial" w:cs="Arial" w:eastAsia="Arial" w:hAnsi="Arial"/>
                <w:sz w:val="15"/>
                <w:szCs w:val="15"/>
                <w:color w:val="auto"/>
              </w:rPr>
              <w:t>and warrants</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341</w:t>
            </w:r>
          </w:p>
        </w:tc>
        <w:tc>
          <w:tcPr>
            <w:tcW w:w="9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w:t>
            </w:r>
          </w:p>
        </w:tc>
        <w:tc>
          <w:tcPr>
            <w:tcW w:w="160" w:type="dxa"/>
            <w:vAlign w:val="bottom"/>
            <w:shd w:val="clear" w:color="auto" w:fill="DBDBDB"/>
          </w:tcPr>
          <w:p>
            <w:pPr>
              <w:spacing w:after="0"/>
              <w:rPr>
                <w:sz w:val="13"/>
                <w:szCs w:val="13"/>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based compensation</w:t>
            </w:r>
          </w:p>
        </w:tc>
        <w:tc>
          <w:tcPr>
            <w:tcW w:w="160" w:type="dxa"/>
            <w:vAlign w:val="bottom"/>
            <w:shd w:val="clear" w:color="auto" w:fill="DBDBDB"/>
          </w:tcPr>
          <w:p>
            <w:pPr>
              <w:spacing w:after="0"/>
              <w:rPr>
                <w:sz w:val="17"/>
                <w:szCs w:val="17"/>
                <w:color w:val="auto"/>
              </w:rPr>
            </w:pPr>
          </w:p>
        </w:tc>
        <w:tc>
          <w:tcPr>
            <w:tcW w:w="1180" w:type="dxa"/>
            <w:vAlign w:val="bottom"/>
            <w:tcBorders>
              <w:bottom w:val="single" w:sz="8" w:color="auto"/>
            </w:tcBorders>
            <w:vMerge w:val="continue"/>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vMerge w:val="continue"/>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6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226,815</w:t>
            </w:r>
          </w:p>
        </w:tc>
        <w:tc>
          <w:tcPr>
            <w:tcW w:w="9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23</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3,782,649</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(29,996)</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(1,746,787)</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2,005,889</w:t>
            </w:r>
          </w:p>
        </w:tc>
        <w:tc>
          <w:tcPr>
            <w:tcW w:w="0" w:type="dxa"/>
            <w:vAlign w:val="bottom"/>
          </w:tcPr>
          <w:p>
            <w:pPr>
              <w:spacing w:after="0"/>
              <w:rPr>
                <w:sz w:val="1"/>
                <w:szCs w:val="1"/>
                <w:color w:val="auto"/>
              </w:rPr>
            </w:pPr>
          </w:p>
        </w:tc>
      </w:tr>
      <w:tr>
        <w:trPr>
          <w:trHeight w:val="207"/>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0" w:type="dxa"/>
            <w:vAlign w:val="bottom"/>
          </w:tcPr>
          <w:p>
            <w:pPr>
              <w:spacing w:after="0"/>
              <w:rPr>
                <w:sz w:val="1"/>
                <w:szCs w:val="1"/>
                <w:color w:val="auto"/>
              </w:rPr>
            </w:pPr>
          </w:p>
        </w:tc>
      </w:tr>
      <w:tr>
        <w:trPr>
          <w:trHeight w:val="205"/>
        </w:trPr>
        <w:tc>
          <w:tcPr>
            <w:tcW w:w="396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5,239</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5,239</w:t>
            </w:r>
          </w:p>
        </w:tc>
        <w:tc>
          <w:tcPr>
            <w:tcW w:w="0" w:type="dxa"/>
            <w:vAlign w:val="bottom"/>
          </w:tcPr>
          <w:p>
            <w:pPr>
              <w:spacing w:after="0"/>
              <w:rPr>
                <w:sz w:val="1"/>
                <w:szCs w:val="1"/>
                <w:color w:val="auto"/>
              </w:rPr>
            </w:pPr>
          </w:p>
        </w:tc>
      </w:tr>
      <w:tr>
        <w:trPr>
          <w:trHeight w:val="156"/>
        </w:trPr>
        <w:tc>
          <w:tcPr>
            <w:tcW w:w="39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340" w:type="dxa"/>
            <w:vAlign w:val="bottom"/>
            <w:gridSpan w:val="2"/>
            <w:vMerge w:val="restart"/>
            <w:shd w:val="clear" w:color="auto" w:fill="DBDBDB"/>
          </w:tcPr>
          <w:p>
            <w:pPr>
              <w:jc w:val="right"/>
              <w:spacing w:after="0"/>
              <w:rPr>
                <w:sz w:val="20"/>
                <w:szCs w:val="20"/>
                <w:color w:val="auto"/>
              </w:rPr>
            </w:pPr>
            <w:r>
              <w:rPr>
                <w:rFonts w:ascii="Arial" w:cs="Arial" w:eastAsia="Arial" w:hAnsi="Arial"/>
                <w:sz w:val="15"/>
                <w:szCs w:val="15"/>
                <w:color w:val="auto"/>
              </w:rPr>
              <w:t>60</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9,038</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9,038</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340" w:type="dxa"/>
            <w:vAlign w:val="bottom"/>
            <w:gridSpan w:val="2"/>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60" w:type="dxa"/>
            <w:vAlign w:val="bottom"/>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(4,100)</w:t>
            </w:r>
          </w:p>
        </w:tc>
        <w:tc>
          <w:tcPr>
            <w:tcW w:w="90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(35,508)</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(35,508)</w:t>
            </w:r>
          </w:p>
        </w:tc>
        <w:tc>
          <w:tcPr>
            <w:tcW w:w="0" w:type="dxa"/>
            <w:vAlign w:val="bottom"/>
          </w:tcPr>
          <w:p>
            <w:pPr>
              <w:spacing w:after="0"/>
              <w:rPr>
                <w:sz w:val="1"/>
                <w:szCs w:val="1"/>
                <w:color w:val="auto"/>
              </w:rPr>
            </w:pPr>
          </w:p>
        </w:tc>
      </w:tr>
      <w:tr>
        <w:trPr>
          <w:trHeight w:val="205"/>
        </w:trPr>
        <w:tc>
          <w:tcPr>
            <w:tcW w:w="3960" w:type="dxa"/>
            <w:vAlign w:val="bottom"/>
          </w:tcPr>
          <w:p>
            <w:pPr>
              <w:ind w:left="220"/>
              <w:spacing w:after="0"/>
              <w:rPr>
                <w:sz w:val="20"/>
                <w:szCs w:val="20"/>
                <w:color w:val="auto"/>
              </w:rPr>
            </w:pPr>
            <w:r>
              <w:rPr>
                <w:rFonts w:ascii="Arial" w:cs="Arial" w:eastAsia="Arial" w:hAnsi="Arial"/>
                <w:sz w:val="15"/>
                <w:szCs w:val="15"/>
                <w:color w:val="auto"/>
              </w:rPr>
              <w:t>warrants</w:t>
            </w:r>
          </w:p>
        </w:tc>
        <w:tc>
          <w:tcPr>
            <w:tcW w:w="13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w:t>
            </w:r>
          </w:p>
        </w:tc>
        <w:tc>
          <w:tcPr>
            <w:tcW w:w="160" w:type="dxa"/>
            <w:vAlign w:val="bottom"/>
            <w:vMerge w:val="restart"/>
            <w:shd w:val="clear" w:color="auto" w:fill="DBDBDB"/>
          </w:tcPr>
          <w:p>
            <w:pPr>
              <w:spacing w:after="0"/>
              <w:rPr>
                <w:sz w:val="13"/>
                <w:szCs w:val="13"/>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4,058</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384</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60" w:type="dxa"/>
            <w:vAlign w:val="bottom"/>
            <w:vMerge w:val="continue"/>
            <w:shd w:val="clear" w:color="auto" w:fill="DBDBDB"/>
          </w:tcPr>
          <w:p>
            <w:pPr>
              <w:spacing w:after="0"/>
              <w:rPr>
                <w:sz w:val="17"/>
                <w:szCs w:val="17"/>
                <w:color w:val="auto"/>
              </w:rPr>
            </w:pPr>
          </w:p>
        </w:tc>
        <w:tc>
          <w:tcPr>
            <w:tcW w:w="1180" w:type="dxa"/>
            <w:vAlign w:val="bottom"/>
            <w:tcBorders>
              <w:bottom w:val="single" w:sz="8" w:color="auto"/>
            </w:tcBorders>
            <w:vMerge w:val="continue"/>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vMerge w:val="continue"/>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60" w:type="dxa"/>
            <w:vAlign w:val="bottom"/>
          </w:tcPr>
          <w:p>
            <w:pPr>
              <w:ind w:left="20"/>
              <w:spacing w:after="0"/>
              <w:rPr>
                <w:sz w:val="20"/>
                <w:szCs w:val="20"/>
                <w:color w:val="auto"/>
              </w:rPr>
            </w:pPr>
            <w:r>
              <w:rPr>
                <w:rFonts w:ascii="Arial" w:cs="Arial" w:eastAsia="Arial" w:hAnsi="Arial"/>
                <w:sz w:val="15"/>
                <w:szCs w:val="15"/>
                <w:color w:val="auto"/>
              </w:rPr>
              <w:t>Balance at June 30, 2021</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226,833</w:t>
            </w:r>
          </w:p>
        </w:tc>
        <w:tc>
          <w:tcPr>
            <w:tcW w:w="9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23</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3,756,563</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(24,757)</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(1,726,416)</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2,005,413</w:t>
            </w:r>
          </w:p>
        </w:tc>
        <w:tc>
          <w:tcPr>
            <w:tcW w:w="0" w:type="dxa"/>
            <w:vAlign w:val="bottom"/>
          </w:tcPr>
          <w:p>
            <w:pPr>
              <w:spacing w:after="0"/>
              <w:rPr>
                <w:sz w:val="1"/>
                <w:szCs w:val="1"/>
                <w:color w:val="auto"/>
              </w:rPr>
            </w:pPr>
          </w:p>
        </w:tc>
      </w:tr>
      <w:tr>
        <w:trPr>
          <w:trHeight w:val="207"/>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61,103</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61,103</w:t>
            </w:r>
          </w:p>
        </w:tc>
        <w:tc>
          <w:tcPr>
            <w:tcW w:w="0" w:type="dxa"/>
            <w:vAlign w:val="bottom"/>
          </w:tcPr>
          <w:p>
            <w:pPr>
              <w:spacing w:after="0"/>
              <w:rPr>
                <w:sz w:val="1"/>
                <w:szCs w:val="1"/>
                <w:color w:val="auto"/>
              </w:rPr>
            </w:pPr>
          </w:p>
        </w:tc>
      </w:tr>
      <w:tr>
        <w:trPr>
          <w:trHeight w:val="205"/>
        </w:trPr>
        <w:tc>
          <w:tcPr>
            <w:tcW w:w="396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(8,956)</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(8,956)</w:t>
            </w:r>
          </w:p>
        </w:tc>
        <w:tc>
          <w:tcPr>
            <w:tcW w:w="0" w:type="dxa"/>
            <w:vAlign w:val="bottom"/>
          </w:tcPr>
          <w:p>
            <w:pPr>
              <w:spacing w:after="0"/>
              <w:rPr>
                <w:sz w:val="1"/>
                <w:szCs w:val="1"/>
                <w:color w:val="auto"/>
              </w:rPr>
            </w:pPr>
          </w:p>
        </w:tc>
      </w:tr>
      <w:tr>
        <w:trPr>
          <w:trHeight w:val="156"/>
        </w:trPr>
        <w:tc>
          <w:tcPr>
            <w:tcW w:w="39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340" w:type="dxa"/>
            <w:vAlign w:val="bottom"/>
            <w:gridSpan w:val="2"/>
            <w:vMerge w:val="restart"/>
            <w:shd w:val="clear" w:color="auto" w:fill="DBDBDB"/>
          </w:tcPr>
          <w:p>
            <w:pPr>
              <w:jc w:val="right"/>
              <w:spacing w:after="0"/>
              <w:rPr>
                <w:sz w:val="20"/>
                <w:szCs w:val="20"/>
                <w:color w:val="auto"/>
              </w:rPr>
            </w:pPr>
            <w:r>
              <w:rPr>
                <w:rFonts w:ascii="Arial" w:cs="Arial" w:eastAsia="Arial" w:hAnsi="Arial"/>
                <w:sz w:val="15"/>
                <w:szCs w:val="15"/>
                <w:color w:val="auto"/>
              </w:rPr>
              <w:t>192</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7,686</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7,686</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340" w:type="dxa"/>
            <w:vAlign w:val="bottom"/>
            <w:gridSpan w:val="2"/>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60" w:type="dxa"/>
            <w:vAlign w:val="bottom"/>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(3,752)</w:t>
            </w:r>
          </w:p>
        </w:tc>
        <w:tc>
          <w:tcPr>
            <w:tcW w:w="90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(106,264)</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(106,264)</w:t>
            </w:r>
          </w:p>
        </w:tc>
        <w:tc>
          <w:tcPr>
            <w:tcW w:w="0" w:type="dxa"/>
            <w:vAlign w:val="bottom"/>
          </w:tcPr>
          <w:p>
            <w:pPr>
              <w:spacing w:after="0"/>
              <w:rPr>
                <w:sz w:val="1"/>
                <w:szCs w:val="1"/>
                <w:color w:val="auto"/>
              </w:rPr>
            </w:pPr>
          </w:p>
        </w:tc>
      </w:tr>
      <w:tr>
        <w:trPr>
          <w:trHeight w:val="205"/>
        </w:trPr>
        <w:tc>
          <w:tcPr>
            <w:tcW w:w="3960" w:type="dxa"/>
            <w:vAlign w:val="bottom"/>
          </w:tcPr>
          <w:p>
            <w:pPr>
              <w:ind w:left="220"/>
              <w:spacing w:after="0"/>
              <w:rPr>
                <w:sz w:val="20"/>
                <w:szCs w:val="20"/>
                <w:color w:val="auto"/>
              </w:rPr>
            </w:pPr>
            <w:r>
              <w:rPr>
                <w:rFonts w:ascii="Arial" w:cs="Arial" w:eastAsia="Arial" w:hAnsi="Arial"/>
                <w:sz w:val="15"/>
                <w:szCs w:val="15"/>
                <w:color w:val="auto"/>
              </w:rPr>
              <w:t>warrants</w:t>
            </w:r>
          </w:p>
        </w:tc>
        <w:tc>
          <w:tcPr>
            <w:tcW w:w="13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w:t>
            </w:r>
          </w:p>
        </w:tc>
        <w:tc>
          <w:tcPr>
            <w:tcW w:w="1340" w:type="dxa"/>
            <w:vAlign w:val="bottom"/>
            <w:gridSpan w:val="2"/>
            <w:vMerge w:val="restart"/>
            <w:shd w:val="clear" w:color="auto" w:fill="DBDBDB"/>
          </w:tcPr>
          <w:p>
            <w:pPr>
              <w:jc w:val="right"/>
              <w:spacing w:after="0"/>
              <w:rPr>
                <w:sz w:val="20"/>
                <w:szCs w:val="20"/>
                <w:color w:val="auto"/>
              </w:rPr>
            </w:pPr>
            <w:r>
              <w:rPr>
                <w:rFonts w:ascii="Arial" w:cs="Arial" w:eastAsia="Arial" w:hAnsi="Arial"/>
                <w:sz w:val="15"/>
                <w:szCs w:val="15"/>
                <w:color w:val="auto"/>
              </w:rPr>
              <w:t>393</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1,517</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1,517</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340" w:type="dxa"/>
            <w:vAlign w:val="bottom"/>
            <w:gridSpan w:val="2"/>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6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w:t>
            </w: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(3,915)</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(3,915)</w:t>
            </w:r>
          </w:p>
        </w:tc>
        <w:tc>
          <w:tcPr>
            <w:tcW w:w="0" w:type="dxa"/>
            <w:vAlign w:val="bottom"/>
          </w:tcPr>
          <w:p>
            <w:pPr>
              <w:spacing w:after="0"/>
              <w:rPr>
                <w:sz w:val="1"/>
                <w:szCs w:val="1"/>
                <w:color w:val="auto"/>
              </w:rPr>
            </w:pPr>
          </w:p>
        </w:tc>
      </w:tr>
      <w:tr>
        <w:trPr>
          <w:trHeight w:val="205"/>
        </w:trPr>
        <w:tc>
          <w:tcPr>
            <w:tcW w:w="39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based compensation</w:t>
            </w:r>
          </w:p>
        </w:tc>
        <w:tc>
          <w:tcPr>
            <w:tcW w:w="160" w:type="dxa"/>
            <w:vAlign w:val="bottom"/>
            <w:tcBorders>
              <w:bottom w:val="single" w:sz="8" w:color="DBDBDB"/>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September 30, 2021</w:t>
            </w:r>
          </w:p>
        </w:tc>
        <w:tc>
          <w:tcPr>
            <w:tcW w:w="13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223,666</w:t>
            </w:r>
          </w:p>
        </w:tc>
        <w:tc>
          <w:tcPr>
            <w:tcW w:w="900" w:type="dxa"/>
            <w:vAlign w:val="bottom"/>
            <w:shd w:val="clear" w:color="auto" w:fill="DBDBDB"/>
          </w:tcPr>
          <w:p>
            <w:pPr>
              <w:jc w:val="right"/>
              <w:ind w:right="723"/>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3,655,587</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(33,713)</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(1,665,313)</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1,956,584</w:t>
            </w:r>
          </w:p>
        </w:tc>
        <w:tc>
          <w:tcPr>
            <w:tcW w:w="0" w:type="dxa"/>
            <w:vAlign w:val="bottom"/>
          </w:tcPr>
          <w:p>
            <w:pPr>
              <w:spacing w:after="0"/>
              <w:rPr>
                <w:sz w:val="1"/>
                <w:szCs w:val="1"/>
                <w:color w:val="auto"/>
              </w:rPr>
            </w:pP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1D2758"/>
        </w:rPr>
        <w:t>WillScot Mobile Mini Holdings Corp.</w:t>
      </w:r>
    </w:p>
    <w:p>
      <w:pPr>
        <w:jc w:val="center"/>
        <w:spacing w:after="0"/>
        <w:rPr>
          <w:sz w:val="20"/>
          <w:szCs w:val="20"/>
          <w:color w:val="auto"/>
        </w:rPr>
      </w:pPr>
      <w:r>
        <w:rPr>
          <w:rFonts w:ascii="Arial" w:cs="Arial" w:eastAsia="Arial" w:hAnsi="Arial"/>
          <w:sz w:val="22"/>
          <w:szCs w:val="22"/>
          <w:color w:val="1D2758"/>
        </w:rPr>
        <w:t>Condensed Consolidated Statements of Cash Flows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740" w:type="dxa"/>
            <w:vAlign w:val="bottom"/>
            <w:gridSpan w:val="5"/>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13"/>
        </w:trPr>
        <w:tc>
          <w:tcPr>
            <w:tcW w:w="7500" w:type="dxa"/>
            <w:vAlign w:val="bottom"/>
            <w:vMerge w:val="continue"/>
            <w:shd w:val="clear" w:color="auto" w:fill="1D2758"/>
          </w:tcPr>
          <w:p>
            <w:pPr>
              <w:spacing w:after="0"/>
              <w:rPr>
                <w:sz w:val="18"/>
                <w:szCs w:val="18"/>
                <w:color w:val="auto"/>
              </w:rPr>
            </w:pP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7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61"/>
        </w:trPr>
        <w:tc>
          <w:tcPr>
            <w:tcW w:w="7500" w:type="dxa"/>
            <w:vAlign w:val="bottom"/>
            <w:shd w:val="clear" w:color="auto" w:fill="1D2758"/>
          </w:tcPr>
          <w:p>
            <w:pPr>
              <w:spacing w:after="0"/>
              <w:rPr>
                <w:sz w:val="14"/>
                <w:szCs w:val="14"/>
                <w:color w:val="auto"/>
              </w:rPr>
            </w:pPr>
          </w:p>
        </w:tc>
        <w:tc>
          <w:tcPr>
            <w:tcW w:w="1100" w:type="dxa"/>
            <w:vAlign w:val="bottom"/>
            <w:vMerge w:val="continue"/>
            <w:shd w:val="clear" w:color="auto" w:fill="1D2758"/>
          </w:tcPr>
          <w:p>
            <w:pPr>
              <w:spacing w:after="0"/>
              <w:rPr>
                <w:sz w:val="14"/>
                <w:szCs w:val="14"/>
                <w:color w:val="auto"/>
              </w:rPr>
            </w:pPr>
          </w:p>
        </w:tc>
        <w:tc>
          <w:tcPr>
            <w:tcW w:w="72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140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10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253,140</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85,921</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257,371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235,536</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26,018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26,661</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Gain on sale of discontinued operations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(34,049)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(21,698)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(25,327)</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9,795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10,554</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Fair value loss on common stock warrant liabilities</w:t>
            </w:r>
          </w:p>
        </w:tc>
        <w:tc>
          <w:tcPr>
            <w:tcW w:w="110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Loss on extinguishment of debt</w:t>
            </w:r>
          </w:p>
        </w:tc>
        <w:tc>
          <w:tcPr>
            <w:tcW w:w="1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Stock-based compensation expense</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22,628</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21,674</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Deferred income tax expense</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56,812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28,140</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Unrealized currency losses, net</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Other</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2,976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Trade receivables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(101,895)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(93,592)</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Inventories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(13,623)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(7,311)</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(9,446)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3,118</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851</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43,565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48,336</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51,622</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25,656</w:t>
            </w:r>
          </w:p>
        </w:tc>
        <w:tc>
          <w:tcPr>
            <w:tcW w:w="0" w:type="dxa"/>
            <w:vAlign w:val="bottom"/>
          </w:tcPr>
          <w:p>
            <w:pPr>
              <w:spacing w:after="0"/>
              <w:rPr>
                <w:sz w:val="1"/>
                <w:szCs w:val="1"/>
                <w:color w:val="auto"/>
              </w:rPr>
            </w:pPr>
          </w:p>
        </w:tc>
      </w:tr>
      <w:tr>
        <w:trPr>
          <w:trHeight w:val="198"/>
        </w:trPr>
        <w:tc>
          <w:tcPr>
            <w:tcW w:w="7500" w:type="dxa"/>
            <w:vAlign w:val="bottom"/>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544,238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392,055</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Proceeds from sale of discontinued operation</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319,543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Acquisitions, net of cash acquired</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(208,663)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(56,244)</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52,263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42,034</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(360,465)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(178,191)</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1,645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16,647</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(30,253)</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(20,836)</w:t>
            </w:r>
          </w:p>
        </w:tc>
        <w:tc>
          <w:tcPr>
            <w:tcW w:w="0" w:type="dxa"/>
            <w:vAlign w:val="bottom"/>
          </w:tcPr>
          <w:p>
            <w:pPr>
              <w:spacing w:after="0"/>
              <w:rPr>
                <w:sz w:val="1"/>
                <w:szCs w:val="1"/>
                <w:color w:val="auto"/>
              </w:rPr>
            </w:pPr>
          </w:p>
        </w:tc>
      </w:tr>
      <w:tr>
        <w:trPr>
          <w:trHeight w:val="198"/>
        </w:trPr>
        <w:tc>
          <w:tcPr>
            <w:tcW w:w="7500" w:type="dxa"/>
            <w:vAlign w:val="bottom"/>
          </w:tcPr>
          <w:p>
            <w:pPr>
              <w:ind w:left="540"/>
              <w:spacing w:after="0"/>
              <w:rPr>
                <w:sz w:val="20"/>
                <w:szCs w:val="20"/>
                <w:color w:val="auto"/>
              </w:rPr>
            </w:pPr>
            <w:r>
              <w:rPr>
                <w:rFonts w:ascii="Arial" w:cs="Arial" w:eastAsia="Arial" w:hAnsi="Arial"/>
                <w:sz w:val="15"/>
                <w:szCs w:val="15"/>
                <w:color w:val="auto"/>
              </w:rPr>
              <w:t>Net cash used in investing activities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(225,930)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(196,590)</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Financing activities: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10,815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7,315</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 and warrants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(515,684)</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(320,562)</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Receipts from borrowings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763,177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551,063</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Repayment of borrowings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(510,677)</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(423,591)</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Payment of financing costs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debt extinguishment premium costs</w:t>
            </w:r>
          </w:p>
        </w:tc>
        <w:tc>
          <w:tcPr>
            <w:tcW w:w="110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(3,705)</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Principal payments on finance lease obligations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(39,336)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(12,321)</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(13,888)</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(7,134)</w:t>
            </w:r>
          </w:p>
        </w:tc>
        <w:tc>
          <w:tcPr>
            <w:tcW w:w="0" w:type="dxa"/>
            <w:vAlign w:val="bottom"/>
          </w:tcPr>
          <w:p>
            <w:pPr>
              <w:spacing w:after="0"/>
              <w:rPr>
                <w:sz w:val="1"/>
                <w:szCs w:val="1"/>
                <w:color w:val="auto"/>
              </w:rPr>
            </w:pPr>
          </w:p>
        </w:tc>
      </w:tr>
      <w:tr>
        <w:trPr>
          <w:trHeight w:val="198"/>
        </w:trPr>
        <w:tc>
          <w:tcPr>
            <w:tcW w:w="7500" w:type="dxa"/>
            <w:vAlign w:val="bottom"/>
          </w:tcPr>
          <w:p>
            <w:pPr>
              <w:ind w:left="540"/>
              <w:spacing w:after="0"/>
              <w:rPr>
                <w:sz w:val="20"/>
                <w:szCs w:val="20"/>
                <w:color w:val="auto"/>
              </w:rPr>
            </w:pPr>
            <w:r>
              <w:rPr>
                <w:rFonts w:ascii="Arial" w:cs="Arial" w:eastAsia="Arial" w:hAnsi="Arial"/>
                <w:sz w:val="15"/>
                <w:szCs w:val="15"/>
                <w:color w:val="auto"/>
              </w:rPr>
              <w:t>Net cash used in financing activities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(313,723)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(208,935)</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(1,842)</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98"/>
        </w:trPr>
        <w:tc>
          <w:tcPr>
            <w:tcW w:w="7500" w:type="dxa"/>
            <w:vAlign w:val="bottom"/>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(13,620)</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24,937</w:t>
            </w:r>
          </w:p>
        </w:tc>
        <w:tc>
          <w:tcPr>
            <w:tcW w:w="0" w:type="dxa"/>
            <w:vAlign w:val="bottom"/>
          </w:tcPr>
          <w:p>
            <w:pPr>
              <w:spacing w:after="0"/>
              <w:rPr>
                <w:sz w:val="1"/>
                <w:szCs w:val="1"/>
                <w:color w:val="auto"/>
              </w:rPr>
            </w:pPr>
          </w:p>
        </w:tc>
      </w:tr>
      <w:tr>
        <w:trPr>
          <w:trHeight w:val="198"/>
        </w:trPr>
        <w:tc>
          <w:tcPr>
            <w:tcW w:w="7500" w:type="dxa"/>
            <w:vAlign w:val="bottom"/>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15,442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11,317</w:t>
            </w:r>
          </w:p>
        </w:tc>
        <w:tc>
          <w:tcPr>
            <w:tcW w:w="0" w:type="dxa"/>
            <w:vAlign w:val="bottom"/>
          </w:tcPr>
          <w:p>
            <w:pPr>
              <w:spacing w:after="0"/>
              <w:rPr>
                <w:sz w:val="1"/>
                <w:szCs w:val="1"/>
                <w:color w:val="auto"/>
              </w:rPr>
            </w:pPr>
          </w:p>
        </w:tc>
      </w:tr>
      <w:tr>
        <w:trPr>
          <w:trHeight w:val="82"/>
        </w:trPr>
        <w:tc>
          <w:tcPr>
            <w:tcW w:w="7500" w:type="dxa"/>
            <w:vAlign w:val="bottom"/>
            <w:tcBorders>
              <w:bottom w:val="single" w:sz="8" w:color="DBDBDB"/>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DBDBDB"/>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7500" w:type="dxa"/>
            <w:vAlign w:val="bottom"/>
            <w:tcBorders>
              <w:top w:val="single" w:sz="8" w:color="DBDBDB"/>
            </w:tcBorders>
          </w:tcPr>
          <w:p>
            <w:pPr>
              <w:ind w:left="20"/>
              <w:spacing w:after="0"/>
              <w:rPr>
                <w:sz w:val="20"/>
                <w:szCs w:val="20"/>
                <w:color w:val="auto"/>
              </w:rPr>
            </w:pPr>
            <w:r>
              <w:rPr>
                <w:rFonts w:ascii="Arial" w:cs="Arial" w:eastAsia="Arial" w:hAnsi="Arial"/>
                <w:sz w:val="15"/>
                <w:szCs w:val="15"/>
                <w:color w:val="auto"/>
              </w:rPr>
              <w:t>Supplemental cash flow information:</w:t>
            </w:r>
          </w:p>
        </w:tc>
        <w:tc>
          <w:tcPr>
            <w:tcW w:w="1100" w:type="dxa"/>
            <w:vAlign w:val="bottom"/>
            <w:tcBorders>
              <w:top w:val="single" w:sz="8" w:color="DBDBDB"/>
            </w:tcBorders>
          </w:tcPr>
          <w:p>
            <w:pPr>
              <w:spacing w:after="0"/>
              <w:rPr>
                <w:sz w:val="17"/>
                <w:szCs w:val="17"/>
                <w:color w:val="auto"/>
              </w:rPr>
            </w:pPr>
          </w:p>
        </w:tc>
        <w:tc>
          <w:tcPr>
            <w:tcW w:w="720" w:type="dxa"/>
            <w:vAlign w:val="bottom"/>
            <w:tcBorders>
              <w:top w:val="single" w:sz="8" w:color="DBDBDB"/>
            </w:tcBorders>
          </w:tcPr>
          <w:p>
            <w:pPr>
              <w:spacing w:after="0"/>
              <w:rPr>
                <w:sz w:val="17"/>
                <w:szCs w:val="17"/>
                <w:color w:val="auto"/>
              </w:rPr>
            </w:pPr>
          </w:p>
        </w:tc>
        <w:tc>
          <w:tcPr>
            <w:tcW w:w="100" w:type="dxa"/>
            <w:vAlign w:val="bottom"/>
            <w:tcBorders>
              <w:top w:val="single" w:sz="8" w:color="DBDBDB"/>
            </w:tcBorders>
          </w:tcPr>
          <w:p>
            <w:pPr>
              <w:spacing w:after="0"/>
              <w:rPr>
                <w:sz w:val="17"/>
                <w:szCs w:val="17"/>
                <w:color w:val="auto"/>
              </w:rPr>
            </w:pPr>
          </w:p>
        </w:tc>
        <w:tc>
          <w:tcPr>
            <w:tcW w:w="420" w:type="dxa"/>
            <w:vAlign w:val="bottom"/>
            <w:tcBorders>
              <w:top w:val="single" w:sz="8" w:color="DBDBDB"/>
            </w:tcBorders>
          </w:tcPr>
          <w:p>
            <w:pPr>
              <w:spacing w:after="0"/>
              <w:rPr>
                <w:sz w:val="17"/>
                <w:szCs w:val="17"/>
                <w:color w:val="auto"/>
              </w:rPr>
            </w:pPr>
          </w:p>
        </w:tc>
        <w:tc>
          <w:tcPr>
            <w:tcW w:w="1400" w:type="dxa"/>
            <w:vAlign w:val="bottom"/>
            <w:tcBorders>
              <w:top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line="207" w:lineRule="exact"/>
              <w:rPr>
                <w:sz w:val="20"/>
                <w:szCs w:val="20"/>
                <w:color w:val="auto"/>
              </w:rPr>
            </w:pPr>
            <w:r>
              <w:rPr>
                <w:rFonts w:ascii="Arial" w:cs="Arial" w:eastAsia="Arial" w:hAnsi="Arial"/>
                <w:sz w:val="15"/>
                <w:szCs w:val="15"/>
                <w:color w:val="auto"/>
              </w:rPr>
              <w:t xml:space="preserve">Interest paid </w:t>
            </w:r>
            <w:r>
              <w:rPr>
                <w:rFonts w:ascii="Arial" w:cs="Arial" w:eastAsia="Arial" w:hAnsi="Arial"/>
                <w:sz w:val="20"/>
                <w:szCs w:val="20"/>
                <w:color w:val="auto"/>
                <w:vertAlign w:val="superscript"/>
              </w:rPr>
              <w:t>1</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88,231</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75,423</w:t>
            </w:r>
          </w:p>
        </w:tc>
        <w:tc>
          <w:tcPr>
            <w:tcW w:w="0" w:type="dxa"/>
            <w:vAlign w:val="bottom"/>
          </w:tcPr>
          <w:p>
            <w:pPr>
              <w:spacing w:after="0"/>
              <w:rPr>
                <w:sz w:val="1"/>
                <w:szCs w:val="1"/>
                <w:color w:val="auto"/>
              </w:rPr>
            </w:pPr>
          </w:p>
        </w:tc>
      </w:tr>
      <w:tr>
        <w:trPr>
          <w:trHeight w:val="205"/>
        </w:trPr>
        <w:tc>
          <w:tcPr>
            <w:tcW w:w="7500" w:type="dxa"/>
            <w:vAlign w:val="bottom"/>
          </w:tcPr>
          <w:p>
            <w:pPr>
              <w:ind w:left="220"/>
              <w:spacing w:after="0"/>
              <w:rPr>
                <w:sz w:val="20"/>
                <w:szCs w:val="20"/>
                <w:color w:val="auto"/>
              </w:rPr>
            </w:pPr>
            <w:r>
              <w:rPr>
                <w:rFonts w:ascii="Arial" w:cs="Arial" w:eastAsia="Arial" w:hAnsi="Arial"/>
                <w:sz w:val="15"/>
                <w:szCs w:val="15"/>
                <w:color w:val="auto"/>
              </w:rPr>
              <w:t>Income taxes paid, net</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17,598</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6,124</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40,385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35,819</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00" w:hanging="97"/>
        <w:spacing w:after="0"/>
        <w:tabs>
          <w:tab w:leader="none" w:pos="10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Includes $8,986 of payments related to the interest rate swap for the nine months ended September 30, 2021.</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Condensed Consolidated Financial Statements (Unaudited)</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WillScot Mobile Mini Holdings Corp. (“WillScot Mobile Mini” and, together with its subsidiaries, the “Company”) is a leading business services provider specializing in innovative flexible work space and portable storage solutions in the United States (“US”), Canada, Mexico and the United Kingdom ("UK"). The Company leases, sells, delivers and installs mobile solutions and storage products through an integrated network of branch locations that spans North America and the UK.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6"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jc w:val="both"/>
        <w:ind w:firstLine="619"/>
        <w:spacing w:after="0" w:line="282" w:lineRule="auto"/>
        <w:rPr>
          <w:sz w:val="20"/>
          <w:szCs w:val="20"/>
          <w:color w:val="auto"/>
        </w:rPr>
      </w:pPr>
      <w:r>
        <w:rPr>
          <w:rFonts w:ascii="Arial" w:cs="Arial" w:eastAsia="Arial" w:hAnsi="Arial"/>
          <w:sz w:val="15"/>
          <w:szCs w:val="15"/>
          <w:color w:val="auto"/>
        </w:rPr>
        <w:t>The results of operations for the three and nine months ended September 30, 2022 are not necessarily indicative of the results to be expected for the full year. For further information, refer to the consolidated financial statements and notes included in the Company's Annual Report on Form 10-K for the year ended December 31, 2021.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In October 2021, the Financial Accounting Standards Board issued Accounting Standards Update ("ASU") 2021-08, </w:t>
      </w:r>
      <w:r>
        <w:rPr>
          <w:rFonts w:ascii="Arial" w:cs="Arial" w:eastAsia="Arial" w:hAnsi="Arial"/>
          <w:sz w:val="15"/>
          <w:szCs w:val="15"/>
          <w:i w:val="1"/>
          <w:iCs w:val="1"/>
          <w:color w:val="auto"/>
        </w:rPr>
        <w:t>Business Combinations (Topic 805):</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for Contract Assets and Contract Liabilities from Contracts with Customers </w:t>
      </w:r>
      <w:r>
        <w:rPr>
          <w:rFonts w:ascii="Arial" w:cs="Arial" w:eastAsia="Arial" w:hAnsi="Arial"/>
          <w:sz w:val="15"/>
          <w:szCs w:val="15"/>
          <w:color w:val="auto"/>
        </w:rPr>
        <w:t>("ASU 2021-08"). ASU 2021-08 requires that an acquirer recognize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measure contract assets and liabilities acquired in a business combination in accordance with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 ASU 2021-08 is effective for annual periods beginning after December 15, 2022, including interim periods therein, with early adoption permitted. The guidance will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1D2758"/>
        </w:rPr>
        <w:t>NOTE 2 - Acquisitions</w:t>
      </w:r>
    </w:p>
    <w:p>
      <w:pPr>
        <w:spacing w:after="0" w:line="12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On July 1, 2020, WillScot Corporation (“WillScot”), and Mobile Mini, Inc. (“Mobile Mini”) merged (the “Merger”). Immediately following the Merger, WillScot changed its name to “WillScot Mobile Mini Holdings Corp.”</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third quarter of 2022, the Company acquired certain assets and liabilities of several smaller entities, which consisted primarily of approximately 7,600 storage units and 3,000 modular units, for $104.7 million in cash. During the first six months of 2022, the Company acquired certain assets and liabilities of several smaller entities, which consisted primarily of approximately 4,100 storage units and 1,400 modular units, for $103.9 million in cash. The accompanying consolidated financial statements include $202.3 million of rental equipment as a result of 2022 acquisitions.</w:t>
      </w:r>
    </w:p>
    <w:p>
      <w:pPr>
        <w:spacing w:after="0" w:line="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third quarter of 2021, the Company acquired certain assets and liabilities of several smaller entities, which consisted primarily of approximately 11,000 storage units and 400 modular units for $56.3 million in cash. As a result of these acquisitions, the Company recognized $53.0 million of rental equipment and $3.0 million of land in its consolidated balance sheet.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recorded $3.9 million and $8.2 million in integration costs related to acquisitions and the Merger within selling, general and administrative ("SG&amp;A") expense during the three months ended September 30, 2022 and 2021, respectively, and $13.2 million and $23.2 million in integration costs related to acquisitions and the Merger during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1D2758"/>
        </w:rPr>
        <w:t>NOTE 3 - Divestiture</w:t>
      </w:r>
    </w:p>
    <w:p>
      <w:pPr>
        <w:spacing w:after="0" w:line="12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On August 19, 2022, the Company entered into a stock purchase agreement to sell its Tank and Pump Solutions ("Tank and Pump") business for approximately $323 million. The sale transaction was completed on September 30, 2022. Exiting the Tank and Pump business represented the Company’s strategic shift to concentrate its operations on its core modular and storage businesses. In accordance with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xml:space="preserve"> the Company ceased recording depreciation and amortization for Tank and Pump rental fleet, property, plant and equipment, and operating lease assets during the third quarter of 2022 when the Tank and Pump business initially qualified as held for sale. In accordance with ASC 205-20, </w:t>
      </w:r>
      <w:r>
        <w:rPr>
          <w:rFonts w:ascii="Arial" w:cs="Arial" w:eastAsia="Arial" w:hAnsi="Arial"/>
          <w:sz w:val="15"/>
          <w:szCs w:val="15"/>
          <w:i w:val="1"/>
          <w:iCs w:val="1"/>
          <w:color w:val="auto"/>
        </w:rPr>
        <w:t>Presentation of Financial Statements - Discontinued</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w:t>
      </w:r>
      <w:r>
        <w:rPr>
          <w:rFonts w:ascii="Arial" w:cs="Arial" w:eastAsia="Arial" w:hAnsi="Arial"/>
          <w:sz w:val="15"/>
          <w:szCs w:val="15"/>
          <w:color w:val="auto"/>
        </w:rPr>
        <w:t>, the Company determined that the criteria for discontinued operations presentation were met during the third quarter of 2022.</w:t>
      </w:r>
    </w:p>
    <w:p>
      <w:pPr>
        <w:spacing w:after="0" w:line="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As part of the divestiture, the Company entered into a customary transition services agreement with the buyer to assist them in the transition of certain functions, including, but not limited to, information technology, accounting and human resources, for a period of six months with an option for the buyer to extend the agreement for a period of up to twelve months. There will be no significant continuing involvement with the Tank and Pump business after its disposal.</w:t>
      </w:r>
    </w:p>
    <w:p>
      <w:pPr>
        <w:jc w:val="both"/>
        <w:ind w:firstLine="619"/>
        <w:spacing w:after="0" w:line="282" w:lineRule="auto"/>
        <w:rPr>
          <w:sz w:val="20"/>
          <w:szCs w:val="20"/>
          <w:color w:val="auto"/>
        </w:rPr>
      </w:pPr>
      <w:r>
        <w:rPr>
          <w:rFonts w:ascii="Arial" w:cs="Arial" w:eastAsia="Arial" w:hAnsi="Arial"/>
          <w:sz w:val="15"/>
          <w:szCs w:val="15"/>
          <w:color w:val="auto"/>
        </w:rPr>
        <w:t>The following tables present the results of Tank and Pump as reported in income from discontinued operations within the condensed consolidated statements of operations for the three and nine months ended September 30, 2022 and 2021 and the carrying value of the divested business' assets and liabilities as presented within assets and liabilities held for sale on the condensed consolidated balance sheet as of December 31,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4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3400" w:type="dxa"/>
            <w:vAlign w:val="bottom"/>
            <w:gridSpan w:val="5"/>
            <w:shd w:val="clear" w:color="auto" w:fill="1D2758"/>
          </w:tcPr>
          <w:p>
            <w:pPr>
              <w:ind w:left="200"/>
              <w:spacing w:after="0"/>
              <w:rPr>
                <w:sz w:val="20"/>
                <w:szCs w:val="20"/>
                <w:color w:val="auto"/>
              </w:rPr>
            </w:pPr>
            <w:r>
              <w:rPr>
                <w:rFonts w:ascii="Arial" w:cs="Arial" w:eastAsia="Arial" w:hAnsi="Arial"/>
                <w:sz w:val="15"/>
                <w:szCs w:val="15"/>
                <w:b w:val="1"/>
                <w:bCs w:val="1"/>
                <w:color w:val="FFFFFF"/>
              </w:rPr>
              <w:t>Three Months Ended September 30,</w:t>
            </w:r>
          </w:p>
        </w:tc>
        <w:tc>
          <w:tcPr>
            <w:tcW w:w="320" w:type="dxa"/>
            <w:vAlign w:val="bottom"/>
            <w:shd w:val="clear" w:color="auto" w:fill="1D2758"/>
          </w:tcPr>
          <w:p>
            <w:pPr>
              <w:spacing w:after="0"/>
              <w:rPr>
                <w:sz w:val="17"/>
                <w:szCs w:val="17"/>
                <w:color w:val="auto"/>
              </w:rPr>
            </w:pPr>
          </w:p>
        </w:tc>
        <w:tc>
          <w:tcPr>
            <w:tcW w:w="3280" w:type="dxa"/>
            <w:vAlign w:val="bottom"/>
            <w:gridSpan w:val="4"/>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17"/>
                <w:szCs w:val="17"/>
                <w:color w:val="auto"/>
              </w:rPr>
            </w:pPr>
          </w:p>
        </w:tc>
        <w:tc>
          <w:tcPr>
            <w:tcW w:w="14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8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r>
      <w:tr>
        <w:trPr>
          <w:trHeight w:val="205"/>
        </w:trPr>
        <w:tc>
          <w:tcPr>
            <w:tcW w:w="39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7"/>
        </w:trPr>
        <w:tc>
          <w:tcPr>
            <w:tcW w:w="39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22,432</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20,797</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65,572</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56,343</w:t>
            </w:r>
          </w:p>
        </w:tc>
      </w:tr>
      <w:tr>
        <w:trPr>
          <w:trHeight w:val="205"/>
        </w:trPr>
        <w:tc>
          <w:tcPr>
            <w:tcW w:w="39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10,121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7,789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27,665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21,969</w:t>
            </w:r>
          </w:p>
        </w:tc>
      </w:tr>
      <w:tr>
        <w:trPr>
          <w:trHeight w:val="207"/>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8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r>
      <w:tr>
        <w:trPr>
          <w:trHeight w:val="205"/>
        </w:trPr>
        <w:tc>
          <w:tcPr>
            <w:tcW w:w="39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490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2,202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1,908</w:t>
            </w:r>
          </w:p>
        </w:tc>
      </w:tr>
      <w:tr>
        <w:trPr>
          <w:trHeight w:val="207"/>
        </w:trPr>
        <w:tc>
          <w:tcPr>
            <w:tcW w:w="39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8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593</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429</w:t>
            </w:r>
          </w:p>
        </w:tc>
        <w:tc>
          <w:tcPr>
            <w:tcW w:w="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917</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1,123</w:t>
            </w:r>
          </w:p>
        </w:tc>
      </w:tr>
      <w:tr>
        <w:trPr>
          <w:trHeight w:val="198"/>
        </w:trPr>
        <w:tc>
          <w:tcPr>
            <w:tcW w:w="39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33,988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29,505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96,356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81,343</w:t>
            </w:r>
          </w:p>
        </w:tc>
      </w:tr>
      <w:tr>
        <w:trPr>
          <w:trHeight w:val="207"/>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8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r>
      <w:tr>
        <w:trPr>
          <w:trHeight w:val="205"/>
        </w:trPr>
        <w:tc>
          <w:tcPr>
            <w:tcW w:w="39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7"/>
        </w:trPr>
        <w:tc>
          <w:tcPr>
            <w:tcW w:w="39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8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4,913</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4,481</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13,828</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12,628</w:t>
            </w:r>
          </w:p>
        </w:tc>
      </w:tr>
      <w:tr>
        <w:trPr>
          <w:trHeight w:val="205"/>
        </w:trPr>
        <w:tc>
          <w:tcPr>
            <w:tcW w:w="39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8,634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6,770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23,285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18,317</w:t>
            </w:r>
          </w:p>
        </w:tc>
      </w:tr>
      <w:tr>
        <w:trPr>
          <w:trHeight w:val="207"/>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8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r>
      <w:tr>
        <w:trPr>
          <w:trHeight w:val="205"/>
        </w:trPr>
        <w:tc>
          <w:tcPr>
            <w:tcW w:w="39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324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1,636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1,338</w:t>
            </w:r>
          </w:p>
        </w:tc>
      </w:tr>
      <w:tr>
        <w:trPr>
          <w:trHeight w:val="207"/>
        </w:trPr>
        <w:tc>
          <w:tcPr>
            <w:tcW w:w="39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8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135</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429</w:t>
            </w:r>
          </w:p>
        </w:tc>
      </w:tr>
      <w:tr>
        <w:trPr>
          <w:trHeight w:val="205"/>
        </w:trPr>
        <w:tc>
          <w:tcPr>
            <w:tcW w:w="39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3,472</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8,145</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10,026</w:t>
            </w:r>
          </w:p>
        </w:tc>
      </w:tr>
      <w:tr>
        <w:trPr>
          <w:trHeight w:val="200"/>
        </w:trPr>
        <w:tc>
          <w:tcPr>
            <w:tcW w:w="39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8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17,748</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14,323</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49,152</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38,605</w:t>
            </w:r>
          </w:p>
        </w:tc>
      </w:tr>
      <w:tr>
        <w:trPr>
          <w:trHeight w:val="205"/>
        </w:trPr>
        <w:tc>
          <w:tcPr>
            <w:tcW w:w="3940" w:type="dxa"/>
            <w:vAlign w:val="bottom"/>
          </w:tcPr>
          <w:p>
            <w:pPr>
              <w:ind w:left="20"/>
              <w:spacing w:after="0"/>
              <w:rPr>
                <w:sz w:val="20"/>
                <w:szCs w:val="20"/>
                <w:color w:val="auto"/>
              </w:rPr>
            </w:pPr>
            <w:r>
              <w:rPr>
                <w:rFonts w:ascii="Arial" w:cs="Arial" w:eastAsia="Arial" w:hAnsi="Arial"/>
                <w:sz w:val="15"/>
                <w:szCs w:val="15"/>
                <w:color w:val="auto"/>
              </w:rPr>
              <w:t>Expenses: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7"/>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8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5,544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6,381</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18,045</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16,792</w:t>
            </w:r>
          </w:p>
        </w:tc>
      </w:tr>
      <w:tr>
        <w:trPr>
          <w:trHeight w:val="205"/>
        </w:trPr>
        <w:tc>
          <w:tcPr>
            <w:tcW w:w="39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1,274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2,355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6,103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6,967</w:t>
            </w:r>
          </w:p>
        </w:tc>
      </w:tr>
      <w:tr>
        <w:trPr>
          <w:trHeight w:val="207"/>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(expense) income, net</w:t>
            </w:r>
          </w:p>
        </w:tc>
        <w:tc>
          <w:tcPr>
            <w:tcW w:w="28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w:t>
            </w:r>
          </w:p>
        </w:tc>
      </w:tr>
      <w:tr>
        <w:trPr>
          <w:trHeight w:val="198"/>
        </w:trPr>
        <w:tc>
          <w:tcPr>
            <w:tcW w:w="394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10,946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5,586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25,000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14,839</w:t>
            </w:r>
          </w:p>
        </w:tc>
      </w:tr>
      <w:tr>
        <w:trPr>
          <w:trHeight w:val="207"/>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28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195</w:t>
            </w:r>
          </w:p>
        </w:tc>
        <w:tc>
          <w:tcPr>
            <w:tcW w:w="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512</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584</w:t>
            </w:r>
          </w:p>
        </w:tc>
      </w:tr>
      <w:tr>
        <w:trPr>
          <w:trHeight w:val="198"/>
        </w:trPr>
        <w:tc>
          <w:tcPr>
            <w:tcW w:w="3940" w:type="dxa"/>
            <w:vAlign w:val="bottom"/>
          </w:tcPr>
          <w:p>
            <w:pPr>
              <w:ind w:left="20"/>
              <w:spacing w:after="0"/>
              <w:rPr>
                <w:sz w:val="20"/>
                <w:szCs w:val="20"/>
                <w:color w:val="auto"/>
              </w:rPr>
            </w:pPr>
            <w:r>
              <w:rPr>
                <w:rFonts w:ascii="Arial" w:cs="Arial" w:eastAsia="Arial" w:hAnsi="Arial"/>
                <w:sz w:val="15"/>
                <w:szCs w:val="15"/>
                <w:color w:val="auto"/>
              </w:rPr>
              <w:t>Income from discontinued operations before income tax</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10,802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5,391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24,488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14,255</w:t>
            </w:r>
          </w:p>
        </w:tc>
      </w:tr>
      <w:tr>
        <w:trPr>
          <w:trHeight w:val="207"/>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8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1,986</w:t>
            </w:r>
          </w:p>
        </w:tc>
        <w:tc>
          <w:tcPr>
            <w:tcW w:w="10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1,401</w:t>
            </w:r>
          </w:p>
        </w:tc>
        <w:tc>
          <w:tcPr>
            <w:tcW w:w="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5,496</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3,612</w:t>
            </w:r>
          </w:p>
        </w:tc>
      </w:tr>
      <w:tr>
        <w:trPr>
          <w:trHeight w:val="198"/>
        </w:trPr>
        <w:tc>
          <w:tcPr>
            <w:tcW w:w="3940" w:type="dxa"/>
            <w:vAlign w:val="bottom"/>
          </w:tcPr>
          <w:p>
            <w:pPr>
              <w:ind w:left="20"/>
              <w:spacing w:after="0"/>
              <w:rPr>
                <w:sz w:val="20"/>
                <w:szCs w:val="20"/>
                <w:color w:val="auto"/>
              </w:rPr>
            </w:pPr>
            <w:r>
              <w:rPr>
                <w:rFonts w:ascii="Arial" w:cs="Arial" w:eastAsia="Arial" w:hAnsi="Arial"/>
                <w:sz w:val="15"/>
                <w:szCs w:val="15"/>
                <w:color w:val="auto"/>
              </w:rPr>
              <w:t>Income from discontinued operations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3,990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18,992</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10,643</w:t>
            </w:r>
          </w:p>
        </w:tc>
      </w:tr>
      <w:tr>
        <w:trPr>
          <w:trHeight w:val="20"/>
        </w:trPr>
        <w:tc>
          <w:tcPr>
            <w:tcW w:w="394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3"/>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8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r>
      <w:tr>
        <w:trPr>
          <w:trHeight w:val="205"/>
        </w:trPr>
        <w:tc>
          <w:tcPr>
            <w:tcW w:w="394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13,048</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10,946</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37,016</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29,870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367"/>
        </w:trPr>
        <w:tc>
          <w:tcPr>
            <w:tcW w:w="88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0" w:type="dxa"/>
            <w:vAlign w:val="bottom"/>
            <w:shd w:val="clear" w:color="auto" w:fill="1D2758"/>
          </w:tcPr>
          <w:p>
            <w:pPr>
              <w:spacing w:after="0"/>
              <w:rPr>
                <w:sz w:val="24"/>
                <w:szCs w:val="24"/>
                <w:color w:val="auto"/>
              </w:rPr>
            </w:pPr>
          </w:p>
        </w:tc>
        <w:tc>
          <w:tcPr>
            <w:tcW w:w="2100" w:type="dxa"/>
            <w:vAlign w:val="bottom"/>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148"/>
        </w:trPr>
        <w:tc>
          <w:tcPr>
            <w:tcW w:w="8840" w:type="dxa"/>
            <w:vAlign w:val="bottom"/>
            <w:vMerge w:val="continue"/>
            <w:shd w:val="clear" w:color="auto" w:fill="1D2758"/>
          </w:tcPr>
          <w:p>
            <w:pPr>
              <w:spacing w:after="0"/>
              <w:rPr>
                <w:sz w:val="12"/>
                <w:szCs w:val="12"/>
                <w:color w:val="auto"/>
              </w:rPr>
            </w:pPr>
          </w:p>
        </w:tc>
        <w:tc>
          <w:tcPr>
            <w:tcW w:w="300" w:type="dxa"/>
            <w:vAlign w:val="bottom"/>
            <w:shd w:val="clear" w:color="auto" w:fill="1D2758"/>
          </w:tcPr>
          <w:p>
            <w:pPr>
              <w:spacing w:after="0"/>
              <w:rPr>
                <w:sz w:val="12"/>
                <w:szCs w:val="12"/>
                <w:color w:val="auto"/>
              </w:rPr>
            </w:pPr>
          </w:p>
        </w:tc>
        <w:tc>
          <w:tcPr>
            <w:tcW w:w="210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8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w:t>
            </w:r>
          </w:p>
        </w:tc>
        <w:tc>
          <w:tcPr>
            <w:tcW w:w="300" w:type="dxa"/>
            <w:vAlign w:val="bottom"/>
            <w:shd w:val="clear" w:color="auto" w:fill="DBDBDB"/>
          </w:tcPr>
          <w:p>
            <w:pPr>
              <w:spacing w:after="0"/>
              <w:rPr>
                <w:sz w:val="17"/>
                <w:szCs w:val="17"/>
                <w:color w:val="auto"/>
              </w:rPr>
            </w:pPr>
          </w:p>
        </w:tc>
        <w:tc>
          <w:tcPr>
            <w:tcW w:w="2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40" w:type="dxa"/>
            <w:vAlign w:val="bottom"/>
          </w:tcPr>
          <w:p>
            <w:pPr>
              <w:ind w:left="220"/>
              <w:spacing w:after="0"/>
              <w:rPr>
                <w:sz w:val="20"/>
                <w:szCs w:val="20"/>
                <w:color w:val="auto"/>
              </w:rPr>
            </w:pPr>
            <w:r>
              <w:rPr>
                <w:rFonts w:ascii="Arial" w:cs="Arial" w:eastAsia="Arial" w:hAnsi="Arial"/>
                <w:sz w:val="15"/>
                <w:szCs w:val="15"/>
                <w:color w:val="auto"/>
              </w:rPr>
              <w:t>Trade receivables, net of allowances for doubtful accounts of $1,469</w:t>
            </w: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2100" w:type="dxa"/>
            <w:vAlign w:val="bottom"/>
          </w:tcPr>
          <w:p>
            <w:pPr>
              <w:jc w:val="right"/>
              <w:spacing w:after="0"/>
              <w:rPr>
                <w:sz w:val="20"/>
                <w:szCs w:val="20"/>
                <w:color w:val="auto"/>
              </w:rPr>
            </w:pPr>
            <w:r>
              <w:rPr>
                <w:rFonts w:ascii="Arial" w:cs="Arial" w:eastAsia="Arial" w:hAnsi="Arial"/>
                <w:sz w:val="15"/>
                <w:szCs w:val="15"/>
                <w:color w:val="auto"/>
              </w:rPr>
              <w:t>31,031</w:t>
            </w:r>
          </w:p>
        </w:tc>
        <w:tc>
          <w:tcPr>
            <w:tcW w:w="0" w:type="dxa"/>
            <w:vAlign w:val="bottom"/>
          </w:tcPr>
          <w:p>
            <w:pPr>
              <w:spacing w:after="0"/>
              <w:rPr>
                <w:sz w:val="1"/>
                <w:szCs w:val="1"/>
                <w:color w:val="auto"/>
              </w:rPr>
            </w:pPr>
          </w:p>
        </w:tc>
      </w:tr>
      <w:tr>
        <w:trPr>
          <w:trHeight w:val="207"/>
        </w:trPr>
        <w:tc>
          <w:tcPr>
            <w:tcW w:w="8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647</w:t>
            </w:r>
          </w:p>
        </w:tc>
        <w:tc>
          <w:tcPr>
            <w:tcW w:w="0" w:type="dxa"/>
            <w:vAlign w:val="bottom"/>
          </w:tcPr>
          <w:p>
            <w:pPr>
              <w:spacing w:after="0"/>
              <w:rPr>
                <w:sz w:val="1"/>
                <w:szCs w:val="1"/>
                <w:color w:val="auto"/>
              </w:rPr>
            </w:pPr>
          </w:p>
        </w:tc>
      </w:tr>
      <w:tr>
        <w:trPr>
          <w:trHeight w:val="205"/>
        </w:trPr>
        <w:tc>
          <w:tcPr>
            <w:tcW w:w="8840" w:type="dxa"/>
            <w:vAlign w:val="bottom"/>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207"/>
        </w:trPr>
        <w:tc>
          <w:tcPr>
            <w:tcW w:w="8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Equipment, net</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134,973</w:t>
            </w:r>
          </w:p>
        </w:tc>
        <w:tc>
          <w:tcPr>
            <w:tcW w:w="0" w:type="dxa"/>
            <w:vAlign w:val="bottom"/>
          </w:tcPr>
          <w:p>
            <w:pPr>
              <w:spacing w:after="0"/>
              <w:rPr>
                <w:sz w:val="1"/>
                <w:szCs w:val="1"/>
                <w:color w:val="auto"/>
              </w:rPr>
            </w:pPr>
          </w:p>
        </w:tc>
      </w:tr>
      <w:tr>
        <w:trPr>
          <w:trHeight w:val="205"/>
        </w:trPr>
        <w:tc>
          <w:tcPr>
            <w:tcW w:w="8840" w:type="dxa"/>
            <w:vAlign w:val="bottom"/>
          </w:tcPr>
          <w:p>
            <w:pPr>
              <w:ind w:left="220"/>
              <w:spacing w:after="0"/>
              <w:rPr>
                <w:sz w:val="20"/>
                <w:szCs w:val="20"/>
                <w:color w:val="auto"/>
              </w:rPr>
            </w:pPr>
            <w:r>
              <w:rPr>
                <w:rFonts w:ascii="Arial" w:cs="Arial" w:eastAsia="Arial" w:hAnsi="Arial"/>
                <w:sz w:val="15"/>
                <w:szCs w:val="15"/>
                <w:color w:val="auto"/>
              </w:rPr>
              <w:t>Property, plant and equipment, net</w:t>
            </w: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29,931</w:t>
            </w:r>
          </w:p>
        </w:tc>
        <w:tc>
          <w:tcPr>
            <w:tcW w:w="0" w:type="dxa"/>
            <w:vAlign w:val="bottom"/>
          </w:tcPr>
          <w:p>
            <w:pPr>
              <w:spacing w:after="0"/>
              <w:rPr>
                <w:sz w:val="1"/>
                <w:szCs w:val="1"/>
                <w:color w:val="auto"/>
              </w:rPr>
            </w:pPr>
          </w:p>
        </w:tc>
      </w:tr>
      <w:tr>
        <w:trPr>
          <w:trHeight w:val="207"/>
        </w:trPr>
        <w:tc>
          <w:tcPr>
            <w:tcW w:w="8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assets</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11,720</w:t>
            </w:r>
          </w:p>
        </w:tc>
        <w:tc>
          <w:tcPr>
            <w:tcW w:w="0" w:type="dxa"/>
            <w:vAlign w:val="bottom"/>
          </w:tcPr>
          <w:p>
            <w:pPr>
              <w:spacing w:after="0"/>
              <w:rPr>
                <w:sz w:val="1"/>
                <w:szCs w:val="1"/>
                <w:color w:val="auto"/>
              </w:rPr>
            </w:pPr>
          </w:p>
        </w:tc>
      </w:tr>
      <w:tr>
        <w:trPr>
          <w:trHeight w:val="205"/>
        </w:trPr>
        <w:tc>
          <w:tcPr>
            <w:tcW w:w="8840" w:type="dxa"/>
            <w:vAlign w:val="bottom"/>
          </w:tcPr>
          <w:p>
            <w:pPr>
              <w:ind w:left="220"/>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100,107</w:t>
            </w:r>
          </w:p>
        </w:tc>
        <w:tc>
          <w:tcPr>
            <w:tcW w:w="0" w:type="dxa"/>
            <w:vAlign w:val="bottom"/>
          </w:tcPr>
          <w:p>
            <w:pPr>
              <w:spacing w:after="0"/>
              <w:rPr>
                <w:sz w:val="1"/>
                <w:szCs w:val="1"/>
                <w:color w:val="auto"/>
              </w:rPr>
            </w:pPr>
          </w:p>
        </w:tc>
      </w:tr>
      <w:tr>
        <w:trPr>
          <w:trHeight w:val="207"/>
        </w:trPr>
        <w:tc>
          <w:tcPr>
            <w:tcW w:w="8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Intangible assets, net</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8,750</w:t>
            </w:r>
          </w:p>
        </w:tc>
        <w:tc>
          <w:tcPr>
            <w:tcW w:w="0" w:type="dxa"/>
            <w:vAlign w:val="bottom"/>
          </w:tcPr>
          <w:p>
            <w:pPr>
              <w:spacing w:after="0"/>
              <w:rPr>
                <w:sz w:val="1"/>
                <w:szCs w:val="1"/>
                <w:color w:val="auto"/>
              </w:rPr>
            </w:pPr>
          </w:p>
        </w:tc>
      </w:tr>
      <w:tr>
        <w:trPr>
          <w:trHeight w:val="205"/>
        </w:trPr>
        <w:tc>
          <w:tcPr>
            <w:tcW w:w="88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25"/>
        </w:trPr>
        <w:tc>
          <w:tcPr>
            <w:tcW w:w="8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assets held for sale</w:t>
            </w:r>
          </w:p>
        </w:tc>
        <w:tc>
          <w:tcPr>
            <w:tcW w:w="30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317,436</w:t>
            </w:r>
          </w:p>
        </w:tc>
        <w:tc>
          <w:tcPr>
            <w:tcW w:w="0" w:type="dxa"/>
            <w:vAlign w:val="bottom"/>
          </w:tcPr>
          <w:p>
            <w:pPr>
              <w:spacing w:after="0"/>
              <w:rPr>
                <w:sz w:val="1"/>
                <w:szCs w:val="1"/>
                <w:color w:val="auto"/>
              </w:rPr>
            </w:pPr>
          </w:p>
        </w:tc>
      </w:tr>
      <w:tr>
        <w:trPr>
          <w:trHeight w:val="20"/>
        </w:trPr>
        <w:tc>
          <w:tcPr>
            <w:tcW w:w="88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Liabilities</w:t>
            </w: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2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8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8,001</w:t>
            </w:r>
          </w:p>
        </w:tc>
        <w:tc>
          <w:tcPr>
            <w:tcW w:w="0" w:type="dxa"/>
            <w:vAlign w:val="bottom"/>
          </w:tcPr>
          <w:p>
            <w:pPr>
              <w:spacing w:after="0"/>
              <w:rPr>
                <w:sz w:val="1"/>
                <w:szCs w:val="1"/>
                <w:color w:val="auto"/>
              </w:rPr>
            </w:pPr>
          </w:p>
        </w:tc>
      </w:tr>
      <w:tr>
        <w:trPr>
          <w:trHeight w:val="205"/>
        </w:trPr>
        <w:tc>
          <w:tcPr>
            <w:tcW w:w="884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4,603</w:t>
            </w:r>
          </w:p>
        </w:tc>
        <w:tc>
          <w:tcPr>
            <w:tcW w:w="0" w:type="dxa"/>
            <w:vAlign w:val="bottom"/>
          </w:tcPr>
          <w:p>
            <w:pPr>
              <w:spacing w:after="0"/>
              <w:rPr>
                <w:sz w:val="1"/>
                <w:szCs w:val="1"/>
                <w:color w:val="auto"/>
              </w:rPr>
            </w:pPr>
          </w:p>
        </w:tc>
      </w:tr>
      <w:tr>
        <w:trPr>
          <w:trHeight w:val="207"/>
        </w:trPr>
        <w:tc>
          <w:tcPr>
            <w:tcW w:w="8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employee benefits</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2,487</w:t>
            </w:r>
          </w:p>
        </w:tc>
        <w:tc>
          <w:tcPr>
            <w:tcW w:w="0" w:type="dxa"/>
            <w:vAlign w:val="bottom"/>
          </w:tcPr>
          <w:p>
            <w:pPr>
              <w:spacing w:after="0"/>
              <w:rPr>
                <w:sz w:val="1"/>
                <w:szCs w:val="1"/>
                <w:color w:val="auto"/>
              </w:rPr>
            </w:pPr>
          </w:p>
        </w:tc>
      </w:tr>
      <w:tr>
        <w:trPr>
          <w:trHeight w:val="205"/>
        </w:trPr>
        <w:tc>
          <w:tcPr>
            <w:tcW w:w="8840" w:type="dxa"/>
            <w:vAlign w:val="bottom"/>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7"/>
        </w:trPr>
        <w:tc>
          <w:tcPr>
            <w:tcW w:w="8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tax liabilities</w:t>
            </w:r>
          </w:p>
        </w:tc>
        <w:tc>
          <w:tcPr>
            <w:tcW w:w="300" w:type="dxa"/>
            <w:vAlign w:val="bottom"/>
            <w:shd w:val="clear" w:color="auto" w:fill="DBDBDB"/>
          </w:tcPr>
          <w:p>
            <w:pPr>
              <w:spacing w:after="0"/>
              <w:rPr>
                <w:sz w:val="18"/>
                <w:szCs w:val="18"/>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17,095</w:t>
            </w:r>
          </w:p>
        </w:tc>
        <w:tc>
          <w:tcPr>
            <w:tcW w:w="0" w:type="dxa"/>
            <w:vAlign w:val="bottom"/>
          </w:tcPr>
          <w:p>
            <w:pPr>
              <w:spacing w:after="0"/>
              <w:rPr>
                <w:sz w:val="1"/>
                <w:szCs w:val="1"/>
                <w:color w:val="auto"/>
              </w:rPr>
            </w:pPr>
          </w:p>
        </w:tc>
      </w:tr>
      <w:tr>
        <w:trPr>
          <w:trHeight w:val="205"/>
        </w:trPr>
        <w:tc>
          <w:tcPr>
            <w:tcW w:w="8840" w:type="dxa"/>
            <w:vAlign w:val="bottom"/>
          </w:tcPr>
          <w:p>
            <w:pPr>
              <w:ind w:left="220"/>
              <w:spacing w:after="0"/>
              <w:rPr>
                <w:sz w:val="20"/>
                <w:szCs w:val="20"/>
                <w:color w:val="auto"/>
              </w:rPr>
            </w:pPr>
            <w:r>
              <w:rPr>
                <w:rFonts w:ascii="Arial" w:cs="Arial" w:eastAsia="Arial" w:hAnsi="Arial"/>
                <w:sz w:val="15"/>
                <w:szCs w:val="15"/>
                <w:color w:val="auto"/>
              </w:rPr>
              <w:t>Operating lease liabilities</w:t>
            </w:r>
          </w:p>
        </w:tc>
        <w:tc>
          <w:tcPr>
            <w:tcW w:w="3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5"/>
                <w:szCs w:val="15"/>
                <w:color w:val="auto"/>
              </w:rPr>
              <w:t>11,959</w:t>
            </w:r>
          </w:p>
        </w:tc>
        <w:tc>
          <w:tcPr>
            <w:tcW w:w="0" w:type="dxa"/>
            <w:vAlign w:val="bottom"/>
          </w:tcPr>
          <w:p>
            <w:pPr>
              <w:spacing w:after="0"/>
              <w:rPr>
                <w:sz w:val="1"/>
                <w:szCs w:val="1"/>
                <w:color w:val="auto"/>
              </w:rPr>
            </w:pPr>
          </w:p>
        </w:tc>
      </w:tr>
      <w:tr>
        <w:trPr>
          <w:trHeight w:val="206"/>
        </w:trPr>
        <w:tc>
          <w:tcPr>
            <w:tcW w:w="88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liabilities</w:t>
            </w:r>
          </w:p>
        </w:tc>
        <w:tc>
          <w:tcPr>
            <w:tcW w:w="300" w:type="dxa"/>
            <w:vAlign w:val="bottom"/>
            <w:tcBorders>
              <w:bottom w:val="single" w:sz="8" w:color="auto"/>
            </w:tcBorders>
            <w:shd w:val="clear" w:color="auto" w:fill="DBDBDB"/>
          </w:tcPr>
          <w:p>
            <w:pPr>
              <w:spacing w:after="0"/>
              <w:rPr>
                <w:sz w:val="17"/>
                <w:szCs w:val="17"/>
                <w:color w:val="auto"/>
              </w:rPr>
            </w:pP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23,487</w:t>
            </w:r>
          </w:p>
        </w:tc>
        <w:tc>
          <w:tcPr>
            <w:tcW w:w="0" w:type="dxa"/>
            <w:vAlign w:val="bottom"/>
          </w:tcPr>
          <w:p>
            <w:pPr>
              <w:spacing w:after="0"/>
              <w:rPr>
                <w:sz w:val="1"/>
                <w:szCs w:val="1"/>
                <w:color w:val="auto"/>
              </w:rPr>
            </w:pPr>
          </w:p>
        </w:tc>
      </w:tr>
      <w:tr>
        <w:trPr>
          <w:trHeight w:val="200"/>
        </w:trPr>
        <w:tc>
          <w:tcPr>
            <w:tcW w:w="8840" w:type="dxa"/>
            <w:vAlign w:val="bottom"/>
          </w:tcPr>
          <w:p>
            <w:pPr>
              <w:ind w:left="20"/>
              <w:spacing w:after="0"/>
              <w:rPr>
                <w:sz w:val="20"/>
                <w:szCs w:val="20"/>
                <w:color w:val="auto"/>
              </w:rPr>
            </w:pPr>
            <w:r>
              <w:rPr>
                <w:rFonts w:ascii="Arial" w:cs="Arial" w:eastAsia="Arial" w:hAnsi="Arial"/>
                <w:sz w:val="15"/>
                <w:szCs w:val="15"/>
                <w:color w:val="auto"/>
              </w:rPr>
              <w:t>Total liabilities held for sale</w:t>
            </w: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67,659</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At December 31, 2021, assets held for sale of $1.0 million were not related to the Tank and Pump business and were excluded from the table above.</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nine months ended September 30, 2022 and 2021, significant operating and investing items related to the Tank and Pump business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00" w:type="dxa"/>
            <w:vAlign w:val="bottom"/>
            <w:shd w:val="clear" w:color="auto" w:fill="1D2758"/>
          </w:tcPr>
          <w:p>
            <w:pPr>
              <w:spacing w:after="0"/>
              <w:rPr>
                <w:sz w:val="17"/>
                <w:szCs w:val="17"/>
                <w:color w:val="auto"/>
              </w:rPr>
            </w:pPr>
          </w:p>
        </w:tc>
        <w:tc>
          <w:tcPr>
            <w:tcW w:w="4660" w:type="dxa"/>
            <w:vAlign w:val="bottom"/>
            <w:gridSpan w:val="3"/>
            <w:shd w:val="clear" w:color="auto" w:fill="1D2758"/>
          </w:tcPr>
          <w:p>
            <w:pPr>
              <w:jc w:val="right"/>
              <w:ind w:right="128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13"/>
        </w:trPr>
        <w:tc>
          <w:tcPr>
            <w:tcW w:w="5980" w:type="dxa"/>
            <w:vAlign w:val="bottom"/>
            <w:vMerge w:val="continue"/>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2020" w:type="dxa"/>
            <w:vAlign w:val="bottom"/>
            <w:vMerge w:val="restart"/>
            <w:shd w:val="clear" w:color="auto" w:fill="1D2758"/>
          </w:tcPr>
          <w:p>
            <w:pPr>
              <w:jc w:val="right"/>
              <w:ind w:right="1083"/>
              <w:spacing w:after="0"/>
              <w:rPr>
                <w:sz w:val="20"/>
                <w:szCs w:val="20"/>
                <w:color w:val="auto"/>
              </w:rPr>
            </w:pPr>
            <w:r>
              <w:rPr>
                <w:rFonts w:ascii="Arial" w:cs="Arial" w:eastAsia="Arial" w:hAnsi="Arial"/>
                <w:sz w:val="15"/>
                <w:szCs w:val="15"/>
                <w:b w:val="1"/>
                <w:bCs w:val="1"/>
                <w:color w:val="FFFFFF"/>
              </w:rPr>
              <w:t>2022</w:t>
            </w:r>
          </w:p>
        </w:tc>
        <w:tc>
          <w:tcPr>
            <w:tcW w:w="660" w:type="dxa"/>
            <w:vAlign w:val="bottom"/>
            <w:shd w:val="clear" w:color="auto" w:fill="1D2758"/>
          </w:tcPr>
          <w:p>
            <w:pPr>
              <w:spacing w:after="0"/>
              <w:rPr>
                <w:sz w:val="18"/>
                <w:szCs w:val="18"/>
                <w:color w:val="auto"/>
              </w:rPr>
            </w:pPr>
          </w:p>
        </w:tc>
        <w:tc>
          <w:tcPr>
            <w:tcW w:w="1980" w:type="dxa"/>
            <w:vAlign w:val="bottom"/>
            <w:vMerge w:val="restart"/>
            <w:shd w:val="clear" w:color="auto" w:fill="1D2758"/>
          </w:tcPr>
          <w:p>
            <w:pPr>
              <w:jc w:val="right"/>
              <w:ind w:right="104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61"/>
        </w:trPr>
        <w:tc>
          <w:tcPr>
            <w:tcW w:w="5980" w:type="dxa"/>
            <w:vAlign w:val="bottom"/>
            <w:shd w:val="clear" w:color="auto" w:fill="1D2758"/>
          </w:tcPr>
          <w:p>
            <w:pPr>
              <w:spacing w:after="0"/>
              <w:rPr>
                <w:sz w:val="14"/>
                <w:szCs w:val="14"/>
                <w:color w:val="auto"/>
              </w:rPr>
            </w:pPr>
          </w:p>
        </w:tc>
        <w:tc>
          <w:tcPr>
            <w:tcW w:w="600" w:type="dxa"/>
            <w:vAlign w:val="bottom"/>
            <w:shd w:val="clear" w:color="auto" w:fill="1D2758"/>
          </w:tcPr>
          <w:p>
            <w:pPr>
              <w:spacing w:after="0"/>
              <w:rPr>
                <w:sz w:val="14"/>
                <w:szCs w:val="14"/>
                <w:color w:val="auto"/>
              </w:rPr>
            </w:pPr>
          </w:p>
        </w:tc>
        <w:tc>
          <w:tcPr>
            <w:tcW w:w="2020" w:type="dxa"/>
            <w:vAlign w:val="bottom"/>
            <w:vMerge w:val="continue"/>
            <w:shd w:val="clear" w:color="auto" w:fill="1D2758"/>
          </w:tcPr>
          <w:p>
            <w:pPr>
              <w:spacing w:after="0"/>
              <w:rPr>
                <w:sz w:val="14"/>
                <w:szCs w:val="14"/>
                <w:color w:val="auto"/>
              </w:rPr>
            </w:pPr>
          </w:p>
        </w:tc>
        <w:tc>
          <w:tcPr>
            <w:tcW w:w="660" w:type="dxa"/>
            <w:vAlign w:val="bottom"/>
            <w:shd w:val="clear" w:color="auto" w:fill="1D2758"/>
          </w:tcPr>
          <w:p>
            <w:pPr>
              <w:spacing w:after="0"/>
              <w:rPr>
                <w:sz w:val="14"/>
                <w:szCs w:val="14"/>
                <w:color w:val="auto"/>
              </w:rPr>
            </w:pPr>
          </w:p>
        </w:tc>
        <w:tc>
          <w:tcPr>
            <w:tcW w:w="198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600" w:type="dxa"/>
            <w:vAlign w:val="bottom"/>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2020" w:type="dxa"/>
            <w:vAlign w:val="bottom"/>
          </w:tcPr>
          <w:p>
            <w:pPr>
              <w:jc w:val="right"/>
              <w:ind w:right="23"/>
              <w:spacing w:after="0"/>
              <w:rPr>
                <w:sz w:val="20"/>
                <w:szCs w:val="20"/>
                <w:color w:val="auto"/>
              </w:rPr>
            </w:pPr>
            <w:r>
              <w:rPr>
                <w:rFonts w:ascii="Arial" w:cs="Arial" w:eastAsia="Arial" w:hAnsi="Arial"/>
                <w:sz w:val="15"/>
                <w:szCs w:val="15"/>
                <w:color w:val="auto"/>
              </w:rPr>
              <w:t>14,248</w:t>
            </w:r>
          </w:p>
        </w:tc>
        <w:tc>
          <w:tcPr>
            <w:tcW w:w="66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16,993</w:t>
            </w:r>
          </w:p>
        </w:tc>
        <w:tc>
          <w:tcPr>
            <w:tcW w:w="0" w:type="dxa"/>
            <w:vAlign w:val="bottom"/>
          </w:tcPr>
          <w:p>
            <w:pPr>
              <w:spacing w:after="0"/>
              <w:rPr>
                <w:sz w:val="1"/>
                <w:szCs w:val="1"/>
                <w:color w:val="auto"/>
              </w:rPr>
            </w:pPr>
          </w:p>
        </w:tc>
      </w:tr>
      <w:tr>
        <w:trPr>
          <w:trHeight w:val="207"/>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600" w:type="dxa"/>
            <w:vAlign w:val="bottom"/>
            <w:shd w:val="clear" w:color="auto" w:fill="DBDBDB"/>
          </w:tcPr>
          <w:p>
            <w:pPr>
              <w:spacing w:after="0"/>
              <w:rPr>
                <w:sz w:val="18"/>
                <w:szCs w:val="18"/>
                <w:color w:val="auto"/>
              </w:rPr>
            </w:pPr>
          </w:p>
        </w:tc>
        <w:tc>
          <w:tcPr>
            <w:tcW w:w="20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9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2020" w:type="dxa"/>
            <w:vAlign w:val="bottom"/>
          </w:tcPr>
          <w:p>
            <w:pPr>
              <w:jc w:val="right"/>
              <w:ind w:right="23"/>
              <w:spacing w:after="0"/>
              <w:rPr>
                <w:sz w:val="20"/>
                <w:szCs w:val="20"/>
                <w:color w:val="auto"/>
              </w:rPr>
            </w:pPr>
            <w:r>
              <w:rPr>
                <w:rFonts w:ascii="Arial" w:cs="Arial" w:eastAsia="Arial" w:hAnsi="Arial"/>
                <w:sz w:val="15"/>
                <w:szCs w:val="15"/>
                <w:color w:val="auto"/>
              </w:rPr>
              <w:t>917</w:t>
            </w:r>
          </w:p>
        </w:tc>
        <w:tc>
          <w:tcPr>
            <w:tcW w:w="66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1,123</w:t>
            </w:r>
          </w:p>
        </w:tc>
        <w:tc>
          <w:tcPr>
            <w:tcW w:w="0" w:type="dxa"/>
            <w:vAlign w:val="bottom"/>
          </w:tcPr>
          <w:p>
            <w:pPr>
              <w:spacing w:after="0"/>
              <w:rPr>
                <w:sz w:val="1"/>
                <w:szCs w:val="1"/>
                <w:color w:val="auto"/>
              </w:rPr>
            </w:pPr>
          </w:p>
        </w:tc>
      </w:tr>
      <w:tr>
        <w:trPr>
          <w:trHeight w:val="207"/>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 of rental equipment and refurbishments</w:t>
            </w:r>
          </w:p>
        </w:tc>
        <w:tc>
          <w:tcPr>
            <w:tcW w:w="60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w w:val="95"/>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(19,064)</w:t>
            </w:r>
          </w:p>
        </w:tc>
        <w:tc>
          <w:tcPr>
            <w:tcW w:w="66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(11,093)</w:t>
            </w:r>
          </w:p>
        </w:tc>
        <w:tc>
          <w:tcPr>
            <w:tcW w:w="0" w:type="dxa"/>
            <w:vAlign w:val="bottom"/>
          </w:tcPr>
          <w:p>
            <w:pPr>
              <w:spacing w:after="0"/>
              <w:rPr>
                <w:sz w:val="1"/>
                <w:szCs w:val="1"/>
                <w:color w:val="auto"/>
              </w:rPr>
            </w:pPr>
          </w:p>
        </w:tc>
      </w:tr>
      <w:tr>
        <w:trPr>
          <w:trHeight w:val="205"/>
        </w:trPr>
        <w:tc>
          <w:tcPr>
            <w:tcW w:w="5980" w:type="dxa"/>
            <w:vAlign w:val="bottom"/>
          </w:tcPr>
          <w:p>
            <w:pPr>
              <w:ind w:left="220"/>
              <w:spacing w:after="0"/>
              <w:rPr>
                <w:sz w:val="20"/>
                <w:szCs w:val="20"/>
                <w:color w:val="auto"/>
              </w:rPr>
            </w:pPr>
            <w:r>
              <w:rPr>
                <w:rFonts w:ascii="Arial" w:cs="Arial" w:eastAsia="Arial" w:hAnsi="Arial"/>
                <w:sz w:val="15"/>
                <w:szCs w:val="15"/>
                <w:color w:val="auto"/>
              </w:rPr>
              <w:t>Proceeds from sale of property, plant and equipment</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2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170</w:t>
            </w:r>
          </w:p>
        </w:tc>
        <w:tc>
          <w:tcPr>
            <w:tcW w:w="0" w:type="dxa"/>
            <w:vAlign w:val="bottom"/>
          </w:tcPr>
          <w:p>
            <w:pPr>
              <w:spacing w:after="0"/>
              <w:rPr>
                <w:sz w:val="1"/>
                <w:szCs w:val="1"/>
                <w:color w:val="auto"/>
              </w:rPr>
            </w:pPr>
          </w:p>
        </w:tc>
      </w:tr>
      <w:tr>
        <w:trPr>
          <w:trHeight w:val="207"/>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 of property, plant and equipment</w:t>
            </w:r>
          </w:p>
        </w:tc>
        <w:tc>
          <w:tcPr>
            <w:tcW w:w="60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w w:val="95"/>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(403)</w:t>
            </w:r>
          </w:p>
        </w:tc>
        <w:tc>
          <w:tcPr>
            <w:tcW w:w="66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2" w:name="page13"/>
    <w:bookmarkEnd w:id="12"/>
    <w:p>
      <w:pPr>
        <w:jc w:val="both"/>
        <w:ind w:firstLine="619"/>
        <w:spacing w:after="0" w:line="282" w:lineRule="auto"/>
        <w:rPr>
          <w:sz w:val="20"/>
          <w:szCs w:val="20"/>
          <w:color w:val="auto"/>
        </w:rPr>
      </w:pPr>
      <w:r>
        <w:rPr>
          <w:rFonts w:ascii="Arial" w:cs="Arial" w:eastAsia="Arial" w:hAnsi="Arial"/>
          <w:sz w:val="15"/>
          <w:szCs w:val="15"/>
          <w:color w:val="auto"/>
        </w:rPr>
        <w:t>The following table presents reconciliations of Income from discontinued operations before income tax to Adjusted EBITDA from discontinued operations for the Tank and Pump business for the three and nine months ended September 30, 2022 and 2021, respectively. See Note 18 for further information regarding Adjusted EBITDA.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3500" w:type="dxa"/>
            <w:vAlign w:val="bottom"/>
            <w:gridSpan w:val="5"/>
            <w:shd w:val="clear" w:color="auto" w:fill="1D2758"/>
          </w:tcPr>
          <w:p>
            <w:pPr>
              <w:ind w:left="240"/>
              <w:spacing w:after="0"/>
              <w:rPr>
                <w:sz w:val="20"/>
                <w:szCs w:val="20"/>
                <w:color w:val="auto"/>
              </w:rPr>
            </w:pPr>
            <w:r>
              <w:rPr>
                <w:rFonts w:ascii="Arial" w:cs="Arial" w:eastAsia="Arial" w:hAnsi="Arial"/>
                <w:sz w:val="15"/>
                <w:szCs w:val="15"/>
                <w:b w:val="1"/>
                <w:bCs w:val="1"/>
                <w:color w:val="FFFFFF"/>
              </w:rPr>
              <w:t>Three Months Ended September 30,</w:t>
            </w:r>
          </w:p>
        </w:tc>
        <w:tc>
          <w:tcPr>
            <w:tcW w:w="340" w:type="dxa"/>
            <w:vAlign w:val="bottom"/>
            <w:shd w:val="clear" w:color="auto" w:fill="1D2758"/>
          </w:tcPr>
          <w:p>
            <w:pPr>
              <w:spacing w:after="0"/>
              <w:rPr>
                <w:sz w:val="17"/>
                <w:szCs w:val="17"/>
                <w:color w:val="auto"/>
              </w:rPr>
            </w:pPr>
          </w:p>
        </w:tc>
        <w:tc>
          <w:tcPr>
            <w:tcW w:w="3380" w:type="dxa"/>
            <w:vAlign w:val="bottom"/>
            <w:gridSpan w:val="4"/>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06"/>
        </w:trPr>
        <w:tc>
          <w:tcPr>
            <w:tcW w:w="37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20" w:type="dxa"/>
            <w:vAlign w:val="bottom"/>
            <w:shd w:val="clear" w:color="auto" w:fill="1D2758"/>
          </w:tcPr>
          <w:p>
            <w:pPr>
              <w:spacing w:after="0"/>
              <w:rPr>
                <w:sz w:val="17"/>
                <w:szCs w:val="17"/>
                <w:color w:val="auto"/>
              </w:rPr>
            </w:pPr>
          </w:p>
        </w:tc>
        <w:tc>
          <w:tcPr>
            <w:tcW w:w="15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4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55"/>
        </w:trPr>
        <w:tc>
          <w:tcPr>
            <w:tcW w:w="370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Income from discontinued operations before income</w:t>
            </w:r>
          </w:p>
        </w:tc>
        <w:tc>
          <w:tcPr>
            <w:tcW w:w="320" w:type="dxa"/>
            <w:vAlign w:val="bottom"/>
            <w:vMerge w:val="restart"/>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5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10,802</w:t>
            </w:r>
          </w:p>
        </w:tc>
        <w:tc>
          <w:tcPr>
            <w:tcW w:w="100" w:type="dxa"/>
            <w:vAlign w:val="bottom"/>
            <w:shd w:val="clear" w:color="auto" w:fill="DBDBDB"/>
          </w:tcPr>
          <w:p>
            <w:pPr>
              <w:spacing w:after="0"/>
              <w:rPr>
                <w:sz w:val="13"/>
                <w:szCs w:val="13"/>
                <w:color w:val="auto"/>
              </w:rPr>
            </w:pPr>
          </w:p>
        </w:tc>
        <w:tc>
          <w:tcPr>
            <w:tcW w:w="420" w:type="dxa"/>
            <w:vAlign w:val="bottom"/>
            <w:vMerge w:val="restart"/>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5,391</w:t>
            </w:r>
          </w:p>
        </w:tc>
        <w:tc>
          <w:tcPr>
            <w:tcW w:w="10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24,488</w:t>
            </w:r>
          </w:p>
        </w:tc>
        <w:tc>
          <w:tcPr>
            <w:tcW w:w="80" w:type="dxa"/>
            <w:vAlign w:val="bottom"/>
            <w:shd w:val="clear" w:color="auto" w:fill="DBDBDB"/>
          </w:tcPr>
          <w:p>
            <w:pPr>
              <w:spacing w:after="0"/>
              <w:rPr>
                <w:sz w:val="13"/>
                <w:szCs w:val="13"/>
                <w:color w:val="auto"/>
              </w:rPr>
            </w:pPr>
          </w:p>
        </w:tc>
        <w:tc>
          <w:tcPr>
            <w:tcW w:w="420" w:type="dxa"/>
            <w:vAlign w:val="bottom"/>
            <w:vMerge w:val="restart"/>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14,255</w:t>
            </w:r>
          </w:p>
        </w:tc>
        <w:tc>
          <w:tcPr>
            <w:tcW w:w="0" w:type="dxa"/>
            <w:vAlign w:val="bottom"/>
          </w:tcPr>
          <w:p>
            <w:pPr>
              <w:spacing w:after="0"/>
              <w:rPr>
                <w:sz w:val="1"/>
                <w:szCs w:val="1"/>
                <w:color w:val="auto"/>
              </w:rPr>
            </w:pPr>
          </w:p>
        </w:tc>
      </w:tr>
      <w:tr>
        <w:trPr>
          <w:trHeight w:val="206"/>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tax</w:t>
            </w:r>
          </w:p>
        </w:tc>
        <w:tc>
          <w:tcPr>
            <w:tcW w:w="320" w:type="dxa"/>
            <w:vAlign w:val="bottom"/>
            <w:vMerge w:val="continue"/>
            <w:shd w:val="clear" w:color="auto" w:fill="DBDBDB"/>
          </w:tcPr>
          <w:p>
            <w:pPr>
              <w:spacing w:after="0"/>
              <w:rPr>
                <w:sz w:val="17"/>
                <w:szCs w:val="17"/>
                <w:color w:val="auto"/>
              </w:rPr>
            </w:pPr>
          </w:p>
        </w:tc>
        <w:tc>
          <w:tcPr>
            <w:tcW w:w="150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20" w:type="dxa"/>
            <w:vAlign w:val="bottom"/>
            <w:vMerge w:val="continue"/>
            <w:shd w:val="clear" w:color="auto" w:fill="DBDBDB"/>
          </w:tcPr>
          <w:p>
            <w:pPr>
              <w:spacing w:after="0"/>
              <w:rPr>
                <w:sz w:val="17"/>
                <w:szCs w:val="17"/>
                <w:color w:val="auto"/>
              </w:rPr>
            </w:pPr>
          </w:p>
        </w:tc>
        <w:tc>
          <w:tcPr>
            <w:tcW w:w="13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vMerge w:val="continue"/>
            <w:shd w:val="clear" w:color="auto" w:fill="DBDBDB"/>
          </w:tcPr>
          <w:p>
            <w:pPr>
              <w:spacing w:after="0"/>
              <w:rPr>
                <w:sz w:val="17"/>
                <w:szCs w:val="17"/>
                <w:color w:val="auto"/>
              </w:rPr>
            </w:pPr>
          </w:p>
        </w:tc>
        <w:tc>
          <w:tcPr>
            <w:tcW w:w="148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vMerge w:val="continue"/>
            <w:shd w:val="clear" w:color="auto" w:fill="DBDBDB"/>
          </w:tcPr>
          <w:p>
            <w:pPr>
              <w:spacing w:after="0"/>
              <w:rPr>
                <w:sz w:val="17"/>
                <w:szCs w:val="17"/>
                <w:color w:val="auto"/>
              </w:rPr>
            </w:pPr>
          </w:p>
        </w:tc>
        <w:tc>
          <w:tcPr>
            <w:tcW w:w="14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512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3,096</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5,828</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14,248</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16,993</w:t>
            </w:r>
          </w:p>
        </w:tc>
        <w:tc>
          <w:tcPr>
            <w:tcW w:w="0" w:type="dxa"/>
            <w:vAlign w:val="bottom"/>
          </w:tcPr>
          <w:p>
            <w:pPr>
              <w:spacing w:after="0"/>
              <w:rPr>
                <w:sz w:val="1"/>
                <w:szCs w:val="1"/>
                <w:color w:val="auto"/>
              </w:rPr>
            </w:pPr>
          </w:p>
        </w:tc>
      </w:tr>
      <w:tr>
        <w:trPr>
          <w:trHeight w:val="155"/>
        </w:trPr>
        <w:tc>
          <w:tcPr>
            <w:tcW w:w="3700" w:type="dxa"/>
            <w:vAlign w:val="bottom"/>
          </w:tcPr>
          <w:p>
            <w:pPr>
              <w:ind w:left="220"/>
              <w:spacing w:after="0" w:line="156" w:lineRule="exact"/>
              <w:rPr>
                <w:sz w:val="20"/>
                <w:szCs w:val="20"/>
                <w:color w:val="auto"/>
              </w:rPr>
            </w:pPr>
            <w:r>
              <w:rPr>
                <w:rFonts w:ascii="Arial" w:cs="Arial" w:eastAsia="Arial" w:hAnsi="Arial"/>
                <w:sz w:val="15"/>
                <w:szCs w:val="15"/>
                <w:color w:val="auto"/>
              </w:rPr>
              <w:t>Restructuring costs, lease impairment expense</w:t>
            </w:r>
          </w:p>
        </w:tc>
        <w:tc>
          <w:tcPr>
            <w:tcW w:w="320" w:type="dxa"/>
            <w:vAlign w:val="bottom"/>
          </w:tcPr>
          <w:p>
            <w:pPr>
              <w:spacing w:after="0"/>
              <w:rPr>
                <w:sz w:val="13"/>
                <w:szCs w:val="13"/>
                <w:color w:val="auto"/>
              </w:rPr>
            </w:pP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3"/>
                <w:szCs w:val="13"/>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3700" w:type="dxa"/>
            <w:vAlign w:val="bottom"/>
          </w:tcPr>
          <w:p>
            <w:pPr>
              <w:ind w:left="220"/>
              <w:spacing w:after="0"/>
              <w:rPr>
                <w:sz w:val="20"/>
                <w:szCs w:val="20"/>
                <w:color w:val="auto"/>
              </w:rPr>
            </w:pPr>
            <w:r>
              <w:rPr>
                <w:rFonts w:ascii="Arial" w:cs="Arial" w:eastAsia="Arial" w:hAnsi="Arial"/>
                <w:sz w:val="15"/>
                <w:szCs w:val="15"/>
                <w:color w:val="auto"/>
              </w:rPr>
              <w:t>and other related charges</w:t>
            </w:r>
          </w:p>
        </w:tc>
        <w:tc>
          <w:tcPr>
            <w:tcW w:w="32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costs</w:t>
            </w:r>
          </w:p>
        </w:tc>
        <w:tc>
          <w:tcPr>
            <w:tcW w:w="320" w:type="dxa"/>
            <w:vAlign w:val="bottom"/>
            <w:shd w:val="clear" w:color="auto" w:fill="DBDBDB"/>
          </w:tcPr>
          <w:p>
            <w:pPr>
              <w:spacing w:after="0"/>
              <w:rPr>
                <w:sz w:val="18"/>
                <w:szCs w:val="18"/>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5"/>
        </w:trPr>
        <w:tc>
          <w:tcPr>
            <w:tcW w:w="370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206"/>
        </w:trPr>
        <w:tc>
          <w:tcPr>
            <w:tcW w:w="3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(773)</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(575)</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(2,250)</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(2,144)</w:t>
            </w:r>
          </w:p>
        </w:tc>
        <w:tc>
          <w:tcPr>
            <w:tcW w:w="0" w:type="dxa"/>
            <w:vAlign w:val="bottom"/>
          </w:tcPr>
          <w:p>
            <w:pPr>
              <w:spacing w:after="0"/>
              <w:rPr>
                <w:sz w:val="1"/>
                <w:szCs w:val="1"/>
                <w:color w:val="auto"/>
              </w:rPr>
            </w:pPr>
          </w:p>
        </w:tc>
      </w:tr>
      <w:tr>
        <w:trPr>
          <w:trHeight w:val="200"/>
        </w:trPr>
        <w:tc>
          <w:tcPr>
            <w:tcW w:w="3700" w:type="dxa"/>
            <w:vAlign w:val="bottom"/>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37,016</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29,870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1D2758"/>
        </w:rPr>
        <w:t>NOTE 4 - Revenue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Company had total revenue in the following geographic areas for the three and nine months ended September 30, 2022 and 2021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21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080" w:type="dxa"/>
            <w:vAlign w:val="bottom"/>
            <w:shd w:val="clear" w:color="auto" w:fill="1D2758"/>
          </w:tcPr>
          <w:p>
            <w:pPr>
              <w:spacing w:after="0"/>
              <w:rPr>
                <w:sz w:val="14"/>
                <w:szCs w:val="14"/>
                <w:color w:val="auto"/>
              </w:rPr>
            </w:pPr>
          </w:p>
        </w:tc>
      </w:tr>
      <w:tr>
        <w:trPr>
          <w:trHeight w:val="206"/>
        </w:trPr>
        <w:tc>
          <w:tcPr>
            <w:tcW w:w="38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180" w:type="dxa"/>
            <w:vAlign w:val="bottom"/>
            <w:gridSpan w:val="3"/>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r>
      <w:tr>
        <w:trPr>
          <w:trHeight w:val="206"/>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74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w w:val="95"/>
              </w:rPr>
              <w:t>2021</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70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538,737</w:t>
            </w: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399,590</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1,445,709</w:t>
            </w:r>
          </w:p>
        </w:tc>
        <w:tc>
          <w:tcPr>
            <w:tcW w:w="10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5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1,121,627</w:t>
            </w: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Canada</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34,815</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29,692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92,989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79,493</w:t>
            </w: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4,453</w:t>
            </w:r>
          </w:p>
        </w:tc>
        <w:tc>
          <w:tcPr>
            <w:tcW w:w="8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3,666</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13,370</w:t>
            </w:r>
          </w:p>
        </w:tc>
        <w:tc>
          <w:tcPr>
            <w:tcW w:w="1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10,977</w:t>
            </w:r>
          </w:p>
        </w:tc>
      </w:tr>
      <w:tr>
        <w:trPr>
          <w:trHeight w:val="205"/>
        </w:trPr>
        <w:tc>
          <w:tcPr>
            <w:tcW w:w="38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UK</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26,168</w:t>
            </w:r>
          </w:p>
        </w:tc>
        <w:tc>
          <w:tcPr>
            <w:tcW w:w="80" w:type="dxa"/>
            <w:vAlign w:val="bottom"/>
            <w:tcBorders>
              <w:bottom w:val="single" w:sz="8" w:color="DBDBDB"/>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28,099</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80,271</w:t>
            </w:r>
          </w:p>
        </w:tc>
        <w:tc>
          <w:tcPr>
            <w:tcW w:w="100" w:type="dxa"/>
            <w:vAlign w:val="bottom"/>
            <w:tcBorders>
              <w:bottom w:val="single" w:sz="8" w:color="DBDBDB"/>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83,537</w:t>
            </w:r>
          </w:p>
        </w:tc>
      </w:tr>
      <w:tr>
        <w:trPr>
          <w:trHeight w:val="225"/>
        </w:trPr>
        <w:tc>
          <w:tcPr>
            <w:tcW w:w="38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604,173</w:t>
            </w:r>
          </w:p>
        </w:tc>
        <w:tc>
          <w:tcPr>
            <w:tcW w:w="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461,047</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1,632,339</w:t>
            </w:r>
          </w:p>
        </w:tc>
        <w:tc>
          <w:tcPr>
            <w:tcW w:w="100" w:type="dxa"/>
            <w:vAlign w:val="bottom"/>
            <w:tcBorders>
              <w:bottom w:val="single" w:sz="8" w:color="DBDBDB"/>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ind w:right="5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1,295,634</w:t>
            </w:r>
          </w:p>
        </w:tc>
      </w:tr>
      <w:tr>
        <w:trPr>
          <w:trHeight w:val="20"/>
        </w:trPr>
        <w:tc>
          <w:tcPr>
            <w:tcW w:w="38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modular space and portable storage units along with value-added products and services ("VAPS"), which include furniture, steps, ramps, basic appliances, internet connectivity devices, security products, shelving systems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5"/>
          <w:szCs w:val="15"/>
          <w:color w:val="auto"/>
        </w:rPr>
        <w:t>The Company’s revenue by major product and service line for the three and nine months ended September 30, 2022 and 2021 was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21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Nine Months Ended</w:t>
            </w:r>
          </w:p>
        </w:tc>
        <w:tc>
          <w:tcPr>
            <w:tcW w:w="1080" w:type="dxa"/>
            <w:vAlign w:val="bottom"/>
            <w:shd w:val="clear" w:color="auto" w:fill="1D2758"/>
          </w:tcPr>
          <w:p>
            <w:pPr>
              <w:spacing w:after="0"/>
              <w:rPr>
                <w:sz w:val="14"/>
                <w:szCs w:val="14"/>
                <w:color w:val="auto"/>
              </w:rPr>
            </w:pPr>
          </w:p>
        </w:tc>
      </w:tr>
      <w:tr>
        <w:trPr>
          <w:trHeight w:val="206"/>
        </w:trPr>
        <w:tc>
          <w:tcPr>
            <w:tcW w:w="38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September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180" w:type="dxa"/>
            <w:vAlign w:val="bottom"/>
            <w:gridSpan w:val="3"/>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r>
      <w:tr>
        <w:trPr>
          <w:trHeight w:val="206"/>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74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w w:val="95"/>
              </w:rPr>
              <w:t>2021</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70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80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226,261</w:t>
            </w:r>
          </w:p>
        </w:tc>
        <w:tc>
          <w:tcPr>
            <w:tcW w:w="80" w:type="dxa"/>
            <w:vAlign w:val="bottom"/>
            <w:shd w:val="clear" w:color="auto" w:fill="DDDDDD"/>
          </w:tcPr>
          <w:p>
            <w:pPr>
              <w:spacing w:after="0"/>
              <w:rPr>
                <w:sz w:val="17"/>
                <w:szCs w:val="17"/>
                <w:color w:val="auto"/>
              </w:rPr>
            </w:pPr>
          </w:p>
        </w:tc>
        <w:tc>
          <w:tcPr>
            <w:tcW w:w="740" w:type="dxa"/>
            <w:vAlign w:val="bottom"/>
            <w:shd w:val="clear" w:color="auto" w:fill="DDDDDD"/>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188,507</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638,273</w:t>
            </w:r>
          </w:p>
        </w:tc>
        <w:tc>
          <w:tcPr>
            <w:tcW w:w="100" w:type="dxa"/>
            <w:vAlign w:val="bottom"/>
            <w:shd w:val="clear" w:color="auto" w:fill="DDDDDD"/>
          </w:tcPr>
          <w:p>
            <w:pPr>
              <w:spacing w:after="0"/>
              <w:rPr>
                <w:sz w:val="17"/>
                <w:szCs w:val="17"/>
                <w:color w:val="auto"/>
              </w:rPr>
            </w:pPr>
          </w:p>
        </w:tc>
        <w:tc>
          <w:tcPr>
            <w:tcW w:w="700" w:type="dxa"/>
            <w:vAlign w:val="bottom"/>
            <w:shd w:val="clear" w:color="auto" w:fill="DDDDDD"/>
          </w:tcPr>
          <w:p>
            <w:pPr>
              <w:jc w:val="right"/>
              <w:ind w:right="52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539,836</w:t>
            </w: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103,503</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66,184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269,964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179,645</w:t>
            </w:r>
          </w:p>
        </w:tc>
      </w:tr>
      <w:tr>
        <w:trPr>
          <w:trHeight w:val="207"/>
        </w:trPr>
        <w:tc>
          <w:tcPr>
            <w:tcW w:w="3800" w:type="dxa"/>
            <w:vAlign w:val="bottom"/>
            <w:shd w:val="clear" w:color="auto" w:fill="DDDDDD"/>
          </w:tcPr>
          <w:p>
            <w:pPr>
              <w:ind w:left="20"/>
              <w:spacing w:after="0" w:line="207"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(a)</w:t>
            </w:r>
          </w:p>
        </w:tc>
        <w:tc>
          <w:tcPr>
            <w:tcW w:w="42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96,220</w:t>
            </w:r>
          </w:p>
        </w:tc>
        <w:tc>
          <w:tcPr>
            <w:tcW w:w="8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72,293</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261,964</w:t>
            </w:r>
          </w:p>
        </w:tc>
        <w:tc>
          <w:tcPr>
            <w:tcW w:w="10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203,493</w:t>
            </w:r>
          </w:p>
        </w:tc>
      </w:tr>
      <w:tr>
        <w:trPr>
          <w:trHeight w:val="206"/>
        </w:trPr>
        <w:tc>
          <w:tcPr>
            <w:tcW w:w="3800" w:type="dxa"/>
            <w:vAlign w:val="bottom"/>
            <w:tcBorders>
              <w:bottom w:val="single" w:sz="8" w:color="DDDDDD"/>
            </w:tcBorders>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21,551</w:t>
            </w: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15,615</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56,005</w:t>
            </w:r>
          </w:p>
        </w:tc>
        <w:tc>
          <w:tcPr>
            <w:tcW w:w="100" w:type="dxa"/>
            <w:vAlign w:val="bottom"/>
            <w:tcBorders>
              <w:bottom w:val="single" w:sz="8" w:color="DDDDDD"/>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42,920</w:t>
            </w:r>
          </w:p>
        </w:tc>
      </w:tr>
      <w:tr>
        <w:trPr>
          <w:trHeight w:val="199"/>
        </w:trPr>
        <w:tc>
          <w:tcPr>
            <w:tcW w:w="380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420" w:type="dxa"/>
            <w:vAlign w:val="bottom"/>
            <w:shd w:val="clear" w:color="auto" w:fill="DDDDDD"/>
          </w:tcPr>
          <w:p>
            <w:pPr>
              <w:spacing w:after="0"/>
              <w:rPr>
                <w:sz w:val="17"/>
                <w:szCs w:val="17"/>
                <w:color w:val="auto"/>
              </w:rPr>
            </w:pP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447,535</w:t>
            </w:r>
          </w:p>
        </w:tc>
        <w:tc>
          <w:tcPr>
            <w:tcW w:w="8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342,599</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1,226,206</w:t>
            </w:r>
          </w:p>
        </w:tc>
        <w:tc>
          <w:tcPr>
            <w:tcW w:w="100" w:type="dxa"/>
            <w:vAlign w:val="bottom"/>
            <w:shd w:val="clear" w:color="auto" w:fill="DDDDDD"/>
          </w:tcPr>
          <w:p>
            <w:pPr>
              <w:spacing w:after="0"/>
              <w:rPr>
                <w:sz w:val="17"/>
                <w:szCs w:val="17"/>
                <w:color w:val="auto"/>
              </w:rPr>
            </w:pPr>
          </w:p>
        </w:tc>
        <w:tc>
          <w:tcPr>
            <w:tcW w:w="700" w:type="dxa"/>
            <w:vAlign w:val="bottom"/>
            <w:shd w:val="clear" w:color="auto" w:fill="DDDDDD"/>
          </w:tcPr>
          <w:p>
            <w:pPr>
              <w:spacing w:after="0"/>
              <w:rPr>
                <w:sz w:val="17"/>
                <w:szCs w:val="17"/>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965,894</w:t>
            </w:r>
          </w:p>
        </w:tc>
      </w:tr>
      <w:tr>
        <w:trPr>
          <w:trHeight w:val="205"/>
        </w:trPr>
        <w:tc>
          <w:tcPr>
            <w:tcW w:w="380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132,837</w:t>
            </w: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91,910</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341,027</w:t>
            </w:r>
          </w:p>
        </w:tc>
        <w:tc>
          <w:tcPr>
            <w:tcW w:w="100" w:type="dxa"/>
            <w:vAlign w:val="bottom"/>
            <w:tcBorders>
              <w:bottom w:val="single" w:sz="8" w:color="DDDDDD"/>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252,914</w:t>
            </w:r>
          </w:p>
        </w:tc>
      </w:tr>
      <w:tr>
        <w:trPr>
          <w:trHeight w:val="200"/>
        </w:trPr>
        <w:tc>
          <w:tcPr>
            <w:tcW w:w="380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420" w:type="dxa"/>
            <w:vAlign w:val="bottom"/>
            <w:shd w:val="clear" w:color="auto" w:fill="DDDDDD"/>
          </w:tcPr>
          <w:p>
            <w:pPr>
              <w:spacing w:after="0"/>
              <w:rPr>
                <w:sz w:val="17"/>
                <w:szCs w:val="17"/>
                <w:color w:val="auto"/>
              </w:rPr>
            </w:pP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580,372</w:t>
            </w:r>
          </w:p>
        </w:tc>
        <w:tc>
          <w:tcPr>
            <w:tcW w:w="80" w:type="dxa"/>
            <w:vAlign w:val="bottom"/>
            <w:shd w:val="clear" w:color="auto" w:fill="DDDDDD"/>
          </w:tcPr>
          <w:p>
            <w:pPr>
              <w:spacing w:after="0"/>
              <w:rPr>
                <w:sz w:val="17"/>
                <w:szCs w:val="17"/>
                <w:color w:val="auto"/>
              </w:rPr>
            </w:pPr>
          </w:p>
        </w:tc>
        <w:tc>
          <w:tcPr>
            <w:tcW w:w="740" w:type="dxa"/>
            <w:vAlign w:val="bottom"/>
            <w:shd w:val="clear" w:color="auto" w:fill="DDDDDD"/>
          </w:tcPr>
          <w:p>
            <w:pPr>
              <w:spacing w:after="0"/>
              <w:rPr>
                <w:sz w:val="17"/>
                <w:szCs w:val="17"/>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434,509</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1,567,233</w:t>
            </w:r>
          </w:p>
        </w:tc>
        <w:tc>
          <w:tcPr>
            <w:tcW w:w="100" w:type="dxa"/>
            <w:vAlign w:val="bottom"/>
            <w:shd w:val="clear" w:color="auto" w:fill="DDDDDD"/>
          </w:tcPr>
          <w:p>
            <w:pPr>
              <w:spacing w:after="0"/>
              <w:rPr>
                <w:sz w:val="17"/>
                <w:szCs w:val="17"/>
                <w:color w:val="auto"/>
              </w:rPr>
            </w:pPr>
          </w:p>
        </w:tc>
        <w:tc>
          <w:tcPr>
            <w:tcW w:w="700" w:type="dxa"/>
            <w:vAlign w:val="bottom"/>
            <w:shd w:val="clear" w:color="auto" w:fill="DDDDDD"/>
          </w:tcPr>
          <w:p>
            <w:pPr>
              <w:spacing w:after="0"/>
              <w:rPr>
                <w:sz w:val="17"/>
                <w:szCs w:val="17"/>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1,218,808</w:t>
            </w: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9,901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15,370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26,232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35,915</w:t>
            </w:r>
          </w:p>
        </w:tc>
      </w:tr>
      <w:tr>
        <w:trPr>
          <w:trHeight w:val="206"/>
        </w:trPr>
        <w:tc>
          <w:tcPr>
            <w:tcW w:w="3800" w:type="dxa"/>
            <w:vAlign w:val="bottom"/>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42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13,900</w:t>
            </w:r>
          </w:p>
        </w:tc>
        <w:tc>
          <w:tcPr>
            <w:tcW w:w="80" w:type="dxa"/>
            <w:vAlign w:val="bottom"/>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11,168</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38,874</w:t>
            </w:r>
          </w:p>
        </w:tc>
        <w:tc>
          <w:tcPr>
            <w:tcW w:w="100" w:type="dxa"/>
            <w:vAlign w:val="bottom"/>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40,911</w:t>
            </w:r>
          </w:p>
        </w:tc>
      </w:tr>
      <w:tr>
        <w:trPr>
          <w:trHeight w:val="200"/>
        </w:trPr>
        <w:tc>
          <w:tcPr>
            <w:tcW w:w="380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604,173</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461,047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1,632,339</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1,295,634</w:t>
            </w:r>
          </w:p>
        </w:tc>
      </w:tr>
      <w:tr>
        <w:trPr>
          <w:trHeight w:val="20"/>
        </w:trPr>
        <w:tc>
          <w:tcPr>
            <w:tcW w:w="3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w:t>
      </w:r>
    </w:p>
    <w:p>
      <w:pPr>
        <w:ind w:left="480" w:right="20"/>
        <w:spacing w:after="0" w:line="231" w:lineRule="auto"/>
        <w:rPr>
          <w:sz w:val="20"/>
          <w:szCs w:val="20"/>
          <w:color w:val="auto"/>
        </w:rPr>
      </w:pPr>
      <w:r>
        <w:rPr>
          <w:rFonts w:ascii="Arial" w:cs="Arial" w:eastAsia="Arial" w:hAnsi="Arial"/>
          <w:sz w:val="14"/>
          <w:szCs w:val="14"/>
          <w:color w:val="auto"/>
        </w:rPr>
        <w:t>Includes $8.8 million and $7.2 million of service revenue for the three months ended September 30, 2022 and 2021, respectively, and $23.1 million and $21.2 million of service revenue for the nine months ended September 30, 2022 and 2021, respectively.</w:t>
      </w:r>
    </w:p>
    <w:p>
      <w:pPr>
        <w:ind w:left="480" w:hanging="46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0" w:lineRule="exact"/>
        <w:rPr>
          <w:sz w:val="20"/>
          <w:szCs w:val="20"/>
          <w:color w:val="auto"/>
        </w:rPr>
      </w:pPr>
    </w:p>
    <w:p>
      <w:pPr>
        <w:jc w:val="both"/>
        <w:ind w:firstLine="619"/>
        <w:spacing w:after="0" w:line="326" w:lineRule="auto"/>
        <w:rPr>
          <w:sz w:val="20"/>
          <w:szCs w:val="20"/>
          <w:color w:val="auto"/>
        </w:rPr>
      </w:pPr>
      <w:r>
        <w:rPr>
          <w:rFonts w:ascii="Arial" w:cs="Arial" w:eastAsia="Arial" w:hAnsi="Arial"/>
          <w:sz w:val="15"/>
          <w:szCs w:val="15"/>
          <w:color w:val="auto"/>
        </w:rPr>
        <w:t xml:space="preserve">The majority of revenue (73% and 74% for the three and nine months ended September 30, 2022, respectively, and 73% for both the three and nine months ended September 30, 2021) was generated by rental income subject to the guidance of ASU 2018-11,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sale of units subject to the guidance in ASC 606.</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and Credit Losses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is exposed to credit losses from trade receivables and manages credit risk at the customer level. Because the same customers generate the revenues that are accounted for under both ASC 606 and ASC 842, the discussions below on credit risk and the Company's allowance for credit losses address the Company's total revenues. Concentration of credit risk with respect to the Company's receivables is limited because of a large number of geographically diverse customers who operate in a variety of end user markets.</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assesses each customer’s ability to pay for the products it leases or sells by conducting a credit review that considers expected billing exposure,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collection experience and, as applicable, current conditions and reasonable and supportable forecasts that affect collectability. The Company's estimate reflects changing circumstances, including changes in the economy or in the particular circumstances of individual customers. Accordingly, the Company may be required to increase or decrease its allowance.</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4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3400" w:type="dxa"/>
            <w:vAlign w:val="bottom"/>
            <w:gridSpan w:val="5"/>
            <w:shd w:val="clear" w:color="auto" w:fill="1D2758"/>
          </w:tcPr>
          <w:p>
            <w:pPr>
              <w:ind w:left="200"/>
              <w:spacing w:after="0"/>
              <w:rPr>
                <w:sz w:val="20"/>
                <w:szCs w:val="20"/>
                <w:color w:val="auto"/>
              </w:rPr>
            </w:pPr>
            <w:r>
              <w:rPr>
                <w:rFonts w:ascii="Arial" w:cs="Arial" w:eastAsia="Arial" w:hAnsi="Arial"/>
                <w:sz w:val="15"/>
                <w:szCs w:val="15"/>
                <w:b w:val="1"/>
                <w:bCs w:val="1"/>
                <w:color w:val="FFFFFF"/>
              </w:rPr>
              <w:t>Three Months Ended September 30,</w:t>
            </w:r>
          </w:p>
        </w:tc>
        <w:tc>
          <w:tcPr>
            <w:tcW w:w="320" w:type="dxa"/>
            <w:vAlign w:val="bottom"/>
            <w:shd w:val="clear" w:color="auto" w:fill="1D2758"/>
          </w:tcPr>
          <w:p>
            <w:pPr>
              <w:spacing w:after="0"/>
              <w:rPr>
                <w:sz w:val="17"/>
                <w:szCs w:val="17"/>
                <w:color w:val="auto"/>
              </w:rPr>
            </w:pPr>
          </w:p>
        </w:tc>
        <w:tc>
          <w:tcPr>
            <w:tcW w:w="3280" w:type="dxa"/>
            <w:vAlign w:val="bottom"/>
            <w:gridSpan w:val="4"/>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17"/>
                <w:szCs w:val="17"/>
                <w:color w:val="auto"/>
              </w:rPr>
            </w:pPr>
          </w:p>
        </w:tc>
        <w:tc>
          <w:tcPr>
            <w:tcW w:w="14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280" w:type="dxa"/>
            <w:vAlign w:val="bottom"/>
            <w:shd w:val="clear" w:color="auto" w:fill="DDDDDD"/>
          </w:tcPr>
          <w:p>
            <w:pPr>
              <w:jc w:val="right"/>
              <w:ind w:right="10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50,720</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35,608</w:t>
            </w: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46,160</w:t>
            </w:r>
          </w:p>
        </w:tc>
        <w:tc>
          <w:tcPr>
            <w:tcW w:w="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28,442</w:t>
            </w:r>
          </w:p>
        </w:tc>
      </w:tr>
      <w:tr>
        <w:trPr>
          <w:trHeight w:val="205"/>
        </w:trPr>
        <w:tc>
          <w:tcPr>
            <w:tcW w:w="394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9,977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8,292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27,487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24,839</w:t>
            </w:r>
          </w:p>
        </w:tc>
      </w:tr>
      <w:tr>
        <w:trPr>
          <w:trHeight w:val="207"/>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w:t>
            </w:r>
          </w:p>
        </w:tc>
        <w:tc>
          <w:tcPr>
            <w:tcW w:w="280" w:type="dxa"/>
            <w:vAlign w:val="bottom"/>
            <w:shd w:val="clear" w:color="auto" w:fill="DDDDDD"/>
          </w:tcPr>
          <w:p>
            <w:pPr>
              <w:spacing w:after="0"/>
              <w:rPr>
                <w:sz w:val="18"/>
                <w:szCs w:val="18"/>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(4,474)</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(4,541)</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14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(17,384)</w:t>
            </w:r>
          </w:p>
        </w:tc>
        <w:tc>
          <w:tcPr>
            <w:tcW w:w="8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(14,411)</w:t>
            </w:r>
          </w:p>
        </w:tc>
      </w:tr>
      <w:tr>
        <w:trPr>
          <w:trHeight w:val="205"/>
        </w:trPr>
        <w:tc>
          <w:tcPr>
            <w:tcW w:w="39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w:t>
            </w:r>
          </w:p>
        </w:tc>
        <w:tc>
          <w:tcPr>
            <w:tcW w:w="8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w:t>
            </w:r>
          </w:p>
        </w:tc>
        <w:tc>
          <w:tcPr>
            <w:tcW w:w="8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w:t>
            </w:r>
          </w:p>
        </w:tc>
      </w:tr>
      <w:tr>
        <w:trPr>
          <w:trHeight w:val="224"/>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280" w:type="dxa"/>
            <w:vAlign w:val="bottom"/>
            <w:tcBorders>
              <w:bottom w:val="single" w:sz="8" w:color="auto"/>
            </w:tcBorders>
            <w:shd w:val="clear" w:color="auto" w:fill="DDDDDD"/>
          </w:tcPr>
          <w:p>
            <w:pPr>
              <w:jc w:val="right"/>
              <w:ind w:right="10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56,127</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39,233</w:t>
            </w:r>
          </w:p>
        </w:tc>
        <w:tc>
          <w:tcPr>
            <w:tcW w:w="80" w:type="dxa"/>
            <w:vAlign w:val="bottom"/>
            <w:tcBorders>
              <w:bottom w:val="single" w:sz="8" w:color="DDDDDD"/>
            </w:tcBorders>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jc w:val="right"/>
              <w:ind w:right="1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56,127</w:t>
            </w:r>
          </w:p>
        </w:tc>
        <w:tc>
          <w:tcPr>
            <w:tcW w:w="8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39,233</w:t>
            </w: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4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During the three months ended September 30, 2022, deferred revenue relating to services billed in advance of $24.5 million was recognized as revenue. As of September 30, 2022 and December 31, 2021, the Company had approximately $107.9 million and $79.4 million, respectively, of deferred revenue related to these services.</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does not have material contract assets, and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expedient to omit disclosure of such amounts.</w:t>
      </w:r>
    </w:p>
    <w:p>
      <w:pPr>
        <w:spacing w:after="0" w:line="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therefore, the commissions are expensed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1D2758"/>
        </w:rPr>
        <w:t>NOTE 5 - Leases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September 30, 2022, the undiscounted future lease payments for operating and finance lease liabilities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0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ind w:left="380"/>
              <w:spacing w:after="0"/>
              <w:rPr>
                <w:sz w:val="20"/>
                <w:szCs w:val="20"/>
                <w:color w:val="auto"/>
              </w:rPr>
            </w:pPr>
            <w:r>
              <w:rPr>
                <w:rFonts w:ascii="Arial" w:cs="Arial" w:eastAsia="Arial" w:hAnsi="Arial"/>
                <w:sz w:val="15"/>
                <w:szCs w:val="15"/>
                <w:b w:val="1"/>
                <w:bCs w:val="1"/>
                <w:color w:val="FFFFFF"/>
              </w:rPr>
              <w:t>Operating</w:t>
            </w:r>
          </w:p>
        </w:tc>
        <w:tc>
          <w:tcPr>
            <w:tcW w:w="540" w:type="dxa"/>
            <w:vAlign w:val="bottom"/>
            <w:shd w:val="clear" w:color="auto" w:fill="1D2758"/>
          </w:tcPr>
          <w:p>
            <w:pPr>
              <w:spacing w:after="0"/>
              <w:rPr>
                <w:sz w:val="17"/>
                <w:szCs w:val="17"/>
                <w:color w:val="auto"/>
              </w:rPr>
            </w:pPr>
          </w:p>
        </w:tc>
        <w:tc>
          <w:tcPr>
            <w:tcW w:w="194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Finance</w:t>
            </w:r>
          </w:p>
        </w:tc>
      </w:tr>
      <w:tr>
        <w:trPr>
          <w:trHeight w:val="206"/>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2022 (remaining)</w:t>
            </w: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15,803</w:t>
            </w:r>
          </w:p>
        </w:tc>
        <w:tc>
          <w:tcPr>
            <w:tcW w:w="80" w:type="dxa"/>
            <w:vAlign w:val="bottom"/>
            <w:shd w:val="clear" w:color="auto" w:fill="DBDBDB"/>
          </w:tcPr>
          <w:p>
            <w:pPr>
              <w:spacing w:after="0"/>
              <w:rPr>
                <w:sz w:val="17"/>
                <w:szCs w:val="17"/>
                <w:color w:val="auto"/>
              </w:rPr>
            </w:pPr>
          </w:p>
        </w:tc>
        <w:tc>
          <w:tcPr>
            <w:tcW w:w="54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3,501</w:t>
            </w:r>
          </w:p>
        </w:tc>
      </w:tr>
      <w:tr>
        <w:trPr>
          <w:trHeight w:val="205"/>
        </w:trPr>
        <w:tc>
          <w:tcPr>
            <w:tcW w:w="6200" w:type="dxa"/>
            <w:vAlign w:val="bottom"/>
          </w:tcPr>
          <w:p>
            <w:pPr>
              <w:ind w:left="20"/>
              <w:spacing w:after="0"/>
              <w:rPr>
                <w:sz w:val="20"/>
                <w:szCs w:val="20"/>
                <w:color w:val="auto"/>
              </w:rPr>
            </w:pPr>
            <w:r>
              <w:rPr>
                <w:rFonts w:ascii="Arial" w:cs="Arial" w:eastAsia="Arial" w:hAnsi="Arial"/>
                <w:sz w:val="15"/>
                <w:szCs w:val="15"/>
                <w:color w:val="auto"/>
              </w:rPr>
              <w:t>2023</w:t>
            </w:r>
          </w:p>
        </w:tc>
        <w:tc>
          <w:tcPr>
            <w:tcW w:w="5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58,926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15,226</w:t>
            </w:r>
          </w:p>
        </w:tc>
      </w:tr>
      <w:tr>
        <w:trPr>
          <w:trHeight w:val="207"/>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2024</w:t>
            </w:r>
          </w:p>
        </w:tc>
        <w:tc>
          <w:tcPr>
            <w:tcW w:w="5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49,583</w:t>
            </w:r>
          </w:p>
        </w:tc>
        <w:tc>
          <w:tcPr>
            <w:tcW w:w="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13,523</w:t>
            </w:r>
          </w:p>
        </w:tc>
      </w:tr>
      <w:tr>
        <w:trPr>
          <w:trHeight w:val="205"/>
        </w:trPr>
        <w:tc>
          <w:tcPr>
            <w:tcW w:w="6200" w:type="dxa"/>
            <w:vAlign w:val="bottom"/>
          </w:tcPr>
          <w:p>
            <w:pPr>
              <w:ind w:left="20"/>
              <w:spacing w:after="0"/>
              <w:rPr>
                <w:sz w:val="20"/>
                <w:szCs w:val="20"/>
                <w:color w:val="auto"/>
              </w:rPr>
            </w:pPr>
            <w:r>
              <w:rPr>
                <w:rFonts w:ascii="Arial" w:cs="Arial" w:eastAsia="Arial" w:hAnsi="Arial"/>
                <w:sz w:val="15"/>
                <w:szCs w:val="15"/>
                <w:color w:val="auto"/>
              </w:rPr>
              <w:t>2025</w:t>
            </w:r>
          </w:p>
        </w:tc>
        <w:tc>
          <w:tcPr>
            <w:tcW w:w="5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41,080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13,197</w:t>
            </w:r>
          </w:p>
        </w:tc>
      </w:tr>
      <w:tr>
        <w:trPr>
          <w:trHeight w:val="207"/>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2026</w:t>
            </w:r>
          </w:p>
        </w:tc>
        <w:tc>
          <w:tcPr>
            <w:tcW w:w="5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30,330</w:t>
            </w:r>
          </w:p>
        </w:tc>
        <w:tc>
          <w:tcPr>
            <w:tcW w:w="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12,809</w:t>
            </w:r>
          </w:p>
        </w:tc>
      </w:tr>
      <w:tr>
        <w:trPr>
          <w:trHeight w:val="205"/>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69,011</w:t>
            </w:r>
          </w:p>
        </w:tc>
        <w:tc>
          <w:tcPr>
            <w:tcW w:w="8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22,052</w:t>
            </w:r>
          </w:p>
        </w:tc>
      </w:tr>
      <w:tr>
        <w:trPr>
          <w:trHeight w:val="200"/>
        </w:trPr>
        <w:tc>
          <w:tcPr>
            <w:tcW w:w="62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500" w:type="dxa"/>
            <w:vAlign w:val="bottom"/>
            <w:shd w:val="clear" w:color="auto" w:fill="DBDBDB"/>
          </w:tcPr>
          <w:p>
            <w:pPr>
              <w:spacing w:after="0"/>
              <w:rPr>
                <w:sz w:val="17"/>
                <w:szCs w:val="17"/>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264,733</w:t>
            </w:r>
          </w:p>
        </w:tc>
        <w:tc>
          <w:tcPr>
            <w:tcW w:w="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80,308</w:t>
            </w:r>
          </w:p>
        </w:tc>
      </w:tr>
      <w:tr>
        <w:trPr>
          <w:trHeight w:val="205"/>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(37,985)</w:t>
            </w:r>
          </w:p>
        </w:tc>
        <w:tc>
          <w:tcPr>
            <w:tcW w:w="8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(7,460)</w:t>
            </w:r>
          </w:p>
        </w:tc>
      </w:tr>
      <w:tr>
        <w:trPr>
          <w:trHeight w:val="224"/>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50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226,748</w:t>
            </w:r>
          </w:p>
        </w:tc>
        <w:tc>
          <w:tcPr>
            <w:tcW w:w="8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72,848</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5" w:name="page16"/>
    <w:bookmarkEnd w:id="15"/>
    <w:p>
      <w:pPr>
        <w:ind w:left="620"/>
        <w:spacing w:after="0"/>
        <w:rPr>
          <w:sz w:val="20"/>
          <w:szCs w:val="20"/>
          <w:color w:val="auto"/>
        </w:rPr>
      </w:pPr>
      <w:r>
        <w:rPr>
          <w:rFonts w:ascii="Arial" w:cs="Arial" w:eastAsia="Arial" w:hAnsi="Arial"/>
          <w:sz w:val="15"/>
          <w:szCs w:val="15"/>
          <w:color w:val="auto"/>
        </w:rPr>
        <w:t>The Company’s lease activity during the nine months ended September 30, 2022 and 2021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80" w:type="dxa"/>
            <w:vAlign w:val="bottom"/>
            <w:shd w:val="clear" w:color="auto" w:fill="1D2758"/>
          </w:tcPr>
          <w:p>
            <w:pPr>
              <w:spacing w:after="0"/>
              <w:rPr>
                <w:sz w:val="17"/>
                <w:szCs w:val="17"/>
                <w:color w:val="auto"/>
              </w:rPr>
            </w:pPr>
          </w:p>
        </w:tc>
        <w:tc>
          <w:tcPr>
            <w:tcW w:w="4440" w:type="dxa"/>
            <w:vAlign w:val="bottom"/>
            <w:gridSpan w:val="4"/>
            <w:shd w:val="clear" w:color="auto" w:fill="1D2758"/>
          </w:tcPr>
          <w:p>
            <w:pPr>
              <w:jc w:val="right"/>
              <w:ind w:right="116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Financial Statement Line</w:t>
            </w:r>
          </w:p>
        </w:tc>
        <w:tc>
          <w:tcPr>
            <w:tcW w:w="58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60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205"/>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11,034</w:t>
            </w:r>
          </w:p>
        </w:tc>
        <w:tc>
          <w:tcPr>
            <w:tcW w:w="80" w:type="dxa"/>
            <w:vAlign w:val="bottom"/>
          </w:tcPr>
          <w:p>
            <w:pPr>
              <w:spacing w:after="0"/>
              <w:rPr>
                <w:sz w:val="17"/>
                <w:szCs w:val="17"/>
                <w:color w:val="auto"/>
              </w:rPr>
            </w:pP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9,538</w:t>
            </w:r>
          </w:p>
        </w:tc>
      </w:tr>
      <w:tr>
        <w:trPr>
          <w:trHeight w:val="206"/>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1,504</w:t>
            </w:r>
          </w:p>
        </w:tc>
        <w:tc>
          <w:tcPr>
            <w:tcW w:w="80" w:type="dxa"/>
            <w:vAlign w:val="bottom"/>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1,072</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12,538</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10,610</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7"/>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Fixed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Costs of leasing and services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2,242</w:t>
            </w:r>
          </w:p>
        </w:tc>
        <w:tc>
          <w:tcPr>
            <w:tcW w:w="80" w:type="dxa"/>
            <w:vAlign w:val="bottom"/>
          </w:tcPr>
          <w:p>
            <w:pPr>
              <w:spacing w:after="0"/>
              <w:rPr>
                <w:sz w:val="17"/>
                <w:szCs w:val="17"/>
                <w:color w:val="auto"/>
              </w:rPr>
            </w:pP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3,019</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46,580</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42,494</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213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1,571</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Short-term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Costs of leasing and services</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24,122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17,751</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1,466</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615</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Variable lease expense</w:t>
            </w: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Costs of leasing and services</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3,989</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5,442</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5,951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5,332</w:t>
            </w:r>
          </w:p>
        </w:tc>
      </w:tr>
      <w:tr>
        <w:trPr>
          <w:trHeight w:val="206"/>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w:t>
            </w:r>
          </w:p>
        </w:tc>
        <w:tc>
          <w:tcPr>
            <w:tcW w:w="80" w:type="dxa"/>
            <w:vAlign w:val="bottom"/>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402</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operating lease expense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84,603</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76,626</w:t>
            </w:r>
          </w:p>
        </w:tc>
      </w:tr>
      <w:tr>
        <w:trPr>
          <w:trHeight w:val="20"/>
        </w:trPr>
        <w:tc>
          <w:tcPr>
            <w:tcW w:w="6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Lease impairment expense and other related charges relate to closed locations that are no longer used in operations as a result of consolidation activities within the Company. During the nine months ended September 30, 2022, the Company recorded $0.3 million in lease impairment expense and other related charges which is comprised of closed location rent expense. During the nine months ended September 30, 2021, the Company recorded $2.3 million in lease impairment expense and other related charges which is comprised of $2.0 million in closed location rent expense and $0.3 million loss on lease exit and impairment charges.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Supplemental cash flow information related to leases for the nine months ended September 30, 2022 and 2021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7"/>
                <w:szCs w:val="17"/>
                <w:color w:val="auto"/>
              </w:rPr>
            </w:pPr>
          </w:p>
        </w:tc>
        <w:tc>
          <w:tcPr>
            <w:tcW w:w="4340" w:type="dxa"/>
            <w:vAlign w:val="bottom"/>
            <w:gridSpan w:val="3"/>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Supplemental Cash Flow Information</w:t>
            </w:r>
          </w:p>
        </w:tc>
        <w:tc>
          <w:tcPr>
            <w:tcW w:w="180" w:type="dxa"/>
            <w:vAlign w:val="bottom"/>
            <w:shd w:val="clear" w:color="auto" w:fill="1D2758"/>
          </w:tcPr>
          <w:p>
            <w:pPr>
              <w:spacing w:after="0"/>
              <w:rPr>
                <w:sz w:val="17"/>
                <w:szCs w:val="17"/>
                <w:color w:val="auto"/>
              </w:rPr>
            </w:pPr>
          </w:p>
        </w:tc>
        <w:tc>
          <w:tcPr>
            <w:tcW w:w="206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2022</w:t>
            </w:r>
          </w:p>
        </w:tc>
        <w:tc>
          <w:tcPr>
            <w:tcW w:w="300" w:type="dxa"/>
            <w:vAlign w:val="bottom"/>
            <w:shd w:val="clear" w:color="auto" w:fill="1D2758"/>
          </w:tcPr>
          <w:p>
            <w:pPr>
              <w:spacing w:after="0"/>
              <w:rPr>
                <w:sz w:val="17"/>
                <w:szCs w:val="17"/>
                <w:color w:val="auto"/>
              </w:rPr>
            </w:pPr>
          </w:p>
        </w:tc>
        <w:tc>
          <w:tcPr>
            <w:tcW w:w="198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2021</w:t>
            </w: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180" w:type="dxa"/>
            <w:vAlign w:val="bottom"/>
            <w:shd w:val="clear" w:color="auto" w:fill="DBDBDB"/>
          </w:tcPr>
          <w:p>
            <w:pPr>
              <w:spacing w:after="0"/>
              <w:rPr>
                <w:sz w:val="17"/>
                <w:szCs w:val="17"/>
                <w:color w:val="auto"/>
              </w:rPr>
            </w:pPr>
          </w:p>
        </w:tc>
        <w:tc>
          <w:tcPr>
            <w:tcW w:w="20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980" w:type="dxa"/>
            <w:vAlign w:val="bottom"/>
            <w:shd w:val="clear" w:color="auto" w:fill="DBDBDB"/>
          </w:tcPr>
          <w:p>
            <w:pPr>
              <w:spacing w:after="0"/>
              <w:rPr>
                <w:sz w:val="17"/>
                <w:szCs w:val="17"/>
                <w:color w:val="auto"/>
              </w:rPr>
            </w:pPr>
          </w:p>
        </w:tc>
      </w:tr>
      <w:tr>
        <w:trPr>
          <w:trHeight w:val="205"/>
        </w:trPr>
        <w:tc>
          <w:tcPr>
            <w:tcW w:w="672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ind w:right="23"/>
              <w:spacing w:after="0"/>
              <w:rPr>
                <w:sz w:val="20"/>
                <w:szCs w:val="20"/>
                <w:color w:val="auto"/>
              </w:rPr>
            </w:pPr>
            <w:r>
              <w:rPr>
                <w:rFonts w:ascii="Arial" w:cs="Arial" w:eastAsia="Arial" w:hAnsi="Arial"/>
                <w:sz w:val="15"/>
                <w:szCs w:val="15"/>
                <w:color w:val="auto"/>
              </w:rPr>
              <w:t>48,309</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46,509</w:t>
            </w:r>
          </w:p>
        </w:tc>
      </w:tr>
      <w:tr>
        <w:trPr>
          <w:trHeight w:val="207"/>
        </w:trPr>
        <w:tc>
          <w:tcPr>
            <w:tcW w:w="67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1,502</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1,067</w:t>
            </w:r>
          </w:p>
        </w:tc>
      </w:tr>
      <w:tr>
        <w:trPr>
          <w:trHeight w:val="205"/>
        </w:trPr>
        <w:tc>
          <w:tcPr>
            <w:tcW w:w="672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ind w:right="23"/>
              <w:spacing w:after="0"/>
              <w:rPr>
                <w:sz w:val="20"/>
                <w:szCs w:val="20"/>
                <w:color w:val="auto"/>
              </w:rPr>
            </w:pPr>
            <w:r>
              <w:rPr>
                <w:rFonts w:ascii="Arial" w:cs="Arial" w:eastAsia="Arial" w:hAnsi="Arial"/>
                <w:sz w:val="15"/>
                <w:szCs w:val="15"/>
                <w:color w:val="auto"/>
              </w:rPr>
              <w:t>12,868</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9,011</w:t>
            </w:r>
          </w:p>
        </w:tc>
      </w:tr>
      <w:tr>
        <w:trPr>
          <w:trHeight w:val="246"/>
        </w:trPr>
        <w:tc>
          <w:tcPr>
            <w:tcW w:w="67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206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980" w:type="dxa"/>
            <w:vAlign w:val="bottom"/>
            <w:shd w:val="clear" w:color="auto" w:fill="DBDBDB"/>
          </w:tcPr>
          <w:p>
            <w:pPr>
              <w:spacing w:after="0"/>
              <w:rPr>
                <w:sz w:val="21"/>
                <w:szCs w:val="21"/>
                <w:color w:val="auto"/>
              </w:rPr>
            </w:pP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2060" w:type="dxa"/>
            <w:vAlign w:val="bottom"/>
          </w:tcPr>
          <w:p>
            <w:pPr>
              <w:jc w:val="right"/>
              <w:ind w:right="23"/>
              <w:spacing w:after="0"/>
              <w:rPr>
                <w:sz w:val="20"/>
                <w:szCs w:val="20"/>
                <w:color w:val="auto"/>
              </w:rPr>
            </w:pPr>
            <w:r>
              <w:rPr>
                <w:rFonts w:ascii="Arial" w:cs="Arial" w:eastAsia="Arial" w:hAnsi="Arial"/>
                <w:sz w:val="15"/>
                <w:szCs w:val="15"/>
                <w:color w:val="auto"/>
              </w:rPr>
              <w:t>37,771</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41,209</w:t>
            </w: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20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22,414</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17,184</w:t>
            </w:r>
          </w:p>
        </w:tc>
      </w:tr>
      <w:tr>
        <w:trPr>
          <w:trHeight w:val="413"/>
        </w:trPr>
        <w:tc>
          <w:tcPr>
            <w:tcW w:w="11240" w:type="dxa"/>
            <w:vAlign w:val="bottom"/>
            <w:gridSpan w:val="5"/>
          </w:tcPr>
          <w:p>
            <w:pPr>
              <w:ind w:left="620"/>
              <w:spacing w:after="0"/>
              <w:rPr>
                <w:sz w:val="20"/>
                <w:szCs w:val="20"/>
                <w:color w:val="auto"/>
              </w:rPr>
            </w:pPr>
            <w:r>
              <w:rPr>
                <w:rFonts w:ascii="Arial" w:cs="Arial" w:eastAsia="Arial" w:hAnsi="Arial"/>
                <w:sz w:val="15"/>
                <w:szCs w:val="15"/>
                <w:color w:val="auto"/>
              </w:rPr>
              <w:t>Weighted-average remaining operating lease terms and the weighted average discount rates as of September 30, 2022 and December 31, 2021 were as</w:t>
            </w:r>
          </w:p>
        </w:tc>
      </w:tr>
      <w:tr>
        <w:trPr>
          <w:trHeight w:val="204"/>
        </w:trPr>
        <w:tc>
          <w:tcPr>
            <w:tcW w:w="6720" w:type="dxa"/>
            <w:vAlign w:val="bottom"/>
          </w:tcPr>
          <w:p>
            <w:pPr>
              <w:spacing w:after="0"/>
              <w:rPr>
                <w:sz w:val="20"/>
                <w:szCs w:val="20"/>
                <w:color w:val="auto"/>
              </w:rPr>
            </w:pPr>
            <w:r>
              <w:rPr>
                <w:rFonts w:ascii="Arial" w:cs="Arial" w:eastAsia="Arial" w:hAnsi="Arial"/>
                <w:sz w:val="15"/>
                <w:szCs w:val="15"/>
                <w:color w:val="auto"/>
              </w:rPr>
              <w:t>follows:</w:t>
            </w:r>
          </w:p>
        </w:tc>
        <w:tc>
          <w:tcPr>
            <w:tcW w:w="1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2"/>
        </w:trPr>
        <w:tc>
          <w:tcPr>
            <w:tcW w:w="6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180" w:type="dxa"/>
            <w:vAlign w:val="bottom"/>
            <w:shd w:val="clear" w:color="auto" w:fill="1D2758"/>
          </w:tcPr>
          <w:p>
            <w:pPr>
              <w:spacing w:after="0"/>
              <w:rPr>
                <w:sz w:val="17"/>
                <w:szCs w:val="17"/>
                <w:color w:val="auto"/>
              </w:rPr>
            </w:pPr>
          </w:p>
        </w:tc>
        <w:tc>
          <w:tcPr>
            <w:tcW w:w="206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September 30, 2022</w:t>
            </w:r>
          </w:p>
        </w:tc>
        <w:tc>
          <w:tcPr>
            <w:tcW w:w="300" w:type="dxa"/>
            <w:vAlign w:val="bottom"/>
            <w:shd w:val="clear" w:color="auto" w:fill="1D2758"/>
          </w:tcPr>
          <w:p>
            <w:pPr>
              <w:spacing w:after="0"/>
              <w:rPr>
                <w:sz w:val="17"/>
                <w:szCs w:val="17"/>
                <w:color w:val="auto"/>
              </w:rPr>
            </w:pPr>
          </w:p>
        </w:tc>
        <w:tc>
          <w:tcPr>
            <w:tcW w:w="198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operating leases</w:t>
            </w:r>
          </w:p>
        </w:tc>
        <w:tc>
          <w:tcPr>
            <w:tcW w:w="180" w:type="dxa"/>
            <w:vAlign w:val="bottom"/>
            <w:shd w:val="clear" w:color="auto" w:fill="DBDBDB"/>
          </w:tcPr>
          <w:p>
            <w:pPr>
              <w:spacing w:after="0"/>
              <w:rPr>
                <w:sz w:val="17"/>
                <w:szCs w:val="17"/>
                <w:color w:val="auto"/>
              </w:rPr>
            </w:pPr>
          </w:p>
        </w:tc>
        <w:tc>
          <w:tcPr>
            <w:tcW w:w="20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5.9 years</w:t>
            </w:r>
          </w:p>
        </w:tc>
        <w:tc>
          <w:tcPr>
            <w:tcW w:w="300" w:type="dxa"/>
            <w:vAlign w:val="bottom"/>
            <w:shd w:val="clear" w:color="auto" w:fill="DBDBDB"/>
          </w:tcPr>
          <w:p>
            <w:pPr>
              <w:spacing w:after="0"/>
              <w:rPr>
                <w:sz w:val="17"/>
                <w:szCs w:val="17"/>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 years</w:t>
            </w: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Weighted-average discount rate - operating leases</w:t>
            </w:r>
          </w:p>
        </w:tc>
        <w:tc>
          <w:tcPr>
            <w:tcW w:w="180" w:type="dxa"/>
            <w:vAlign w:val="bottom"/>
          </w:tcPr>
          <w:p>
            <w:pPr>
              <w:spacing w:after="0"/>
              <w:rPr>
                <w:sz w:val="17"/>
                <w:szCs w:val="17"/>
                <w:color w:val="auto"/>
              </w:rPr>
            </w:pPr>
          </w:p>
        </w:tc>
        <w:tc>
          <w:tcPr>
            <w:tcW w:w="2060" w:type="dxa"/>
            <w:vAlign w:val="bottom"/>
          </w:tcPr>
          <w:p>
            <w:pPr>
              <w:jc w:val="right"/>
              <w:ind w:right="43"/>
              <w:spacing w:after="0"/>
              <w:rPr>
                <w:sz w:val="20"/>
                <w:szCs w:val="20"/>
                <w:color w:val="auto"/>
              </w:rPr>
            </w:pPr>
            <w:r>
              <w:rPr>
                <w:rFonts w:ascii="Arial" w:cs="Arial" w:eastAsia="Arial" w:hAnsi="Arial"/>
                <w:sz w:val="15"/>
                <w:szCs w:val="15"/>
                <w:color w:val="auto"/>
              </w:rPr>
              <w:t>5.1 %</w:t>
            </w:r>
          </w:p>
        </w:tc>
        <w:tc>
          <w:tcPr>
            <w:tcW w:w="3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5.0 %</w:t>
            </w: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finance leases</w:t>
            </w:r>
          </w:p>
        </w:tc>
        <w:tc>
          <w:tcPr>
            <w:tcW w:w="180" w:type="dxa"/>
            <w:vAlign w:val="bottom"/>
            <w:shd w:val="clear" w:color="auto" w:fill="DBDBDB"/>
          </w:tcPr>
          <w:p>
            <w:pPr>
              <w:spacing w:after="0"/>
              <w:rPr>
                <w:sz w:val="18"/>
                <w:szCs w:val="18"/>
                <w:color w:val="auto"/>
              </w:rPr>
            </w:pPr>
          </w:p>
        </w:tc>
        <w:tc>
          <w:tcPr>
            <w:tcW w:w="20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5.1 years</w:t>
            </w:r>
          </w:p>
        </w:tc>
        <w:tc>
          <w:tcPr>
            <w:tcW w:w="3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 years</w:t>
            </w: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Weighted-average discount rate - finance leases</w:t>
            </w:r>
          </w:p>
        </w:tc>
        <w:tc>
          <w:tcPr>
            <w:tcW w:w="180" w:type="dxa"/>
            <w:vAlign w:val="bottom"/>
          </w:tcPr>
          <w:p>
            <w:pPr>
              <w:spacing w:after="0"/>
              <w:rPr>
                <w:sz w:val="17"/>
                <w:szCs w:val="17"/>
                <w:color w:val="auto"/>
              </w:rPr>
            </w:pPr>
          </w:p>
        </w:tc>
        <w:tc>
          <w:tcPr>
            <w:tcW w:w="2060" w:type="dxa"/>
            <w:vAlign w:val="bottom"/>
          </w:tcPr>
          <w:p>
            <w:pPr>
              <w:jc w:val="right"/>
              <w:ind w:right="43"/>
              <w:spacing w:after="0"/>
              <w:rPr>
                <w:sz w:val="20"/>
                <w:szCs w:val="20"/>
                <w:color w:val="auto"/>
              </w:rPr>
            </w:pPr>
            <w:r>
              <w:rPr>
                <w:rFonts w:ascii="Arial" w:cs="Arial" w:eastAsia="Arial" w:hAnsi="Arial"/>
                <w:sz w:val="15"/>
                <w:szCs w:val="15"/>
                <w:color w:val="auto"/>
              </w:rPr>
              <w:t>3.2 %</w:t>
            </w:r>
          </w:p>
        </w:tc>
        <w:tc>
          <w:tcPr>
            <w:tcW w:w="3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1D2758"/>
        </w:rPr>
        <w:t>NOTE 6 - Inventories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206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September 30, 2022</w:t>
            </w: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65"/>
        </w:trPr>
        <w:tc>
          <w:tcPr>
            <w:tcW w:w="6720" w:type="dxa"/>
            <w:vAlign w:val="bottom"/>
            <w:shd w:val="clear" w:color="auto" w:fill="1D2758"/>
          </w:tcPr>
          <w:p>
            <w:pPr>
              <w:spacing w:after="0"/>
              <w:rPr>
                <w:sz w:val="5"/>
                <w:szCs w:val="5"/>
                <w:color w:val="auto"/>
              </w:rPr>
            </w:pPr>
          </w:p>
        </w:tc>
        <w:tc>
          <w:tcPr>
            <w:tcW w:w="240" w:type="dxa"/>
            <w:vAlign w:val="bottom"/>
            <w:shd w:val="clear" w:color="auto" w:fill="1D2758"/>
          </w:tcPr>
          <w:p>
            <w:pPr>
              <w:spacing w:after="0"/>
              <w:rPr>
                <w:sz w:val="5"/>
                <w:szCs w:val="5"/>
                <w:color w:val="auto"/>
              </w:rPr>
            </w:pPr>
          </w:p>
        </w:tc>
        <w:tc>
          <w:tcPr>
            <w:tcW w:w="206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38,720</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26,340</w:t>
            </w:r>
          </w:p>
        </w:tc>
        <w:tc>
          <w:tcPr>
            <w:tcW w:w="0" w:type="dxa"/>
            <w:vAlign w:val="bottom"/>
          </w:tcPr>
          <w:p>
            <w:pPr>
              <w:spacing w:after="0"/>
              <w:rPr>
                <w:sz w:val="1"/>
                <w:szCs w:val="1"/>
                <w:color w:val="auto"/>
              </w:rPr>
            </w:pPr>
          </w:p>
        </w:tc>
      </w:tr>
      <w:tr>
        <w:trPr>
          <w:trHeight w:val="205"/>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6,153</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5,752</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44,873</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32,092</w:t>
            </w:r>
          </w:p>
        </w:tc>
        <w:tc>
          <w:tcPr>
            <w:tcW w:w="0" w:type="dxa"/>
            <w:vAlign w:val="bottom"/>
          </w:tcPr>
          <w:p>
            <w:pPr>
              <w:spacing w:after="0"/>
              <w:rPr>
                <w:sz w:val="1"/>
                <w:szCs w:val="1"/>
                <w:color w:val="auto"/>
              </w:rPr>
            </w:pP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1D2758"/>
        </w:rPr>
        <w:t>NOTE 7 - Rental Equipment, net</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206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September 30, 2022</w:t>
            </w: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65"/>
        </w:trPr>
        <w:tc>
          <w:tcPr>
            <w:tcW w:w="6720" w:type="dxa"/>
            <w:vAlign w:val="bottom"/>
            <w:shd w:val="clear" w:color="auto" w:fill="1D2758"/>
          </w:tcPr>
          <w:p>
            <w:pPr>
              <w:spacing w:after="0"/>
              <w:rPr>
                <w:sz w:val="5"/>
                <w:szCs w:val="5"/>
                <w:color w:val="auto"/>
              </w:rPr>
            </w:pPr>
          </w:p>
        </w:tc>
        <w:tc>
          <w:tcPr>
            <w:tcW w:w="240" w:type="dxa"/>
            <w:vAlign w:val="bottom"/>
            <w:shd w:val="clear" w:color="auto" w:fill="1D2758"/>
          </w:tcPr>
          <w:p>
            <w:pPr>
              <w:spacing w:after="0"/>
              <w:rPr>
                <w:sz w:val="5"/>
                <w:szCs w:val="5"/>
                <w:color w:val="auto"/>
              </w:rPr>
            </w:pPr>
          </w:p>
        </w:tc>
        <w:tc>
          <w:tcPr>
            <w:tcW w:w="206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3,254,022</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3,005,195</w:t>
            </w:r>
          </w:p>
        </w:tc>
        <w:tc>
          <w:tcPr>
            <w:tcW w:w="0" w:type="dxa"/>
            <w:vAlign w:val="bottom"/>
          </w:tcPr>
          <w:p>
            <w:pPr>
              <w:spacing w:after="0"/>
              <w:rPr>
                <w:sz w:val="1"/>
                <w:szCs w:val="1"/>
                <w:color w:val="auto"/>
              </w:rPr>
            </w:pP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40" w:type="dxa"/>
            <w:vAlign w:val="bottom"/>
          </w:tcPr>
          <w:p>
            <w:pPr>
              <w:spacing w:after="0"/>
              <w:rPr>
                <w:sz w:val="17"/>
                <w:szCs w:val="17"/>
                <w:color w:val="auto"/>
              </w:rPr>
            </w:pP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898,275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758,619</w:t>
            </w:r>
          </w:p>
        </w:tc>
        <w:tc>
          <w:tcPr>
            <w:tcW w:w="0" w:type="dxa"/>
            <w:vAlign w:val="bottom"/>
          </w:tcPr>
          <w:p>
            <w:pPr>
              <w:spacing w:after="0"/>
              <w:rPr>
                <w:sz w:val="1"/>
                <w:szCs w:val="1"/>
                <w:color w:val="auto"/>
              </w:rPr>
            </w:pP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240" w:type="dxa"/>
            <w:vAlign w:val="bottom"/>
            <w:tcBorders>
              <w:bottom w:val="single" w:sz="8" w:color="auto"/>
            </w:tcBorders>
            <w:shd w:val="clear" w:color="auto" w:fill="DBDBDB"/>
          </w:tcPr>
          <w:p>
            <w:pPr>
              <w:spacing w:after="0"/>
              <w:rPr>
                <w:sz w:val="18"/>
                <w:szCs w:val="18"/>
                <w:color w:val="auto"/>
              </w:rPr>
            </w:pPr>
          </w:p>
        </w:tc>
        <w:tc>
          <w:tcPr>
            <w:tcW w:w="1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198,494</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168,358</w:t>
            </w:r>
          </w:p>
        </w:tc>
        <w:tc>
          <w:tcPr>
            <w:tcW w:w="0" w:type="dxa"/>
            <w:vAlign w:val="bottom"/>
          </w:tcPr>
          <w:p>
            <w:pPr>
              <w:spacing w:after="0"/>
              <w:rPr>
                <w:sz w:val="1"/>
                <w:szCs w:val="1"/>
                <w:color w:val="auto"/>
              </w:rPr>
            </w:pPr>
          </w:p>
        </w:tc>
      </w:tr>
      <w:tr>
        <w:trPr>
          <w:trHeight w:val="198"/>
        </w:trPr>
        <w:tc>
          <w:tcPr>
            <w:tcW w:w="672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240" w:type="dxa"/>
            <w:vAlign w:val="bottom"/>
          </w:tcPr>
          <w:p>
            <w:pPr>
              <w:spacing w:after="0"/>
              <w:rPr>
                <w:sz w:val="17"/>
                <w:szCs w:val="17"/>
                <w:color w:val="auto"/>
              </w:rPr>
            </w:pPr>
          </w:p>
        </w:tc>
        <w:tc>
          <w:tcPr>
            <w:tcW w:w="1980" w:type="dxa"/>
            <w:vAlign w:val="bottom"/>
          </w:tcPr>
          <w:p>
            <w:pPr>
              <w:jc w:val="right"/>
              <w:ind w:right="3"/>
              <w:spacing w:after="0"/>
              <w:rPr>
                <w:sz w:val="20"/>
                <w:szCs w:val="20"/>
                <w:color w:val="auto"/>
              </w:rPr>
            </w:pPr>
            <w:r>
              <w:rPr>
                <w:rFonts w:ascii="Arial" w:cs="Arial" w:eastAsia="Arial" w:hAnsi="Arial"/>
                <w:sz w:val="15"/>
                <w:szCs w:val="15"/>
                <w:color w:val="auto"/>
              </w:rPr>
              <w:t>4,350,791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3,932,172</w:t>
            </w:r>
          </w:p>
        </w:tc>
        <w:tc>
          <w:tcPr>
            <w:tcW w:w="0" w:type="dxa"/>
            <w:vAlign w:val="bottom"/>
          </w:tcPr>
          <w:p>
            <w:pPr>
              <w:spacing w:after="0"/>
              <w:rPr>
                <w:sz w:val="1"/>
                <w:szCs w:val="1"/>
                <w:color w:val="auto"/>
              </w:rPr>
            </w:pP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240" w:type="dxa"/>
            <w:vAlign w:val="bottom"/>
            <w:tcBorders>
              <w:bottom w:val="single" w:sz="8" w:color="auto"/>
            </w:tcBorders>
            <w:shd w:val="clear" w:color="auto" w:fill="DBDBDB"/>
          </w:tcPr>
          <w:p>
            <w:pPr>
              <w:spacing w:after="0"/>
              <w:rPr>
                <w:sz w:val="18"/>
                <w:szCs w:val="18"/>
                <w:color w:val="auto"/>
              </w:rPr>
            </w:pP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(1,123,056)</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(986,164)</w:t>
            </w:r>
          </w:p>
        </w:tc>
        <w:tc>
          <w:tcPr>
            <w:tcW w:w="0" w:type="dxa"/>
            <w:vAlign w:val="bottom"/>
          </w:tcPr>
          <w:p>
            <w:pPr>
              <w:spacing w:after="0"/>
              <w:rPr>
                <w:sz w:val="1"/>
                <w:szCs w:val="1"/>
                <w:color w:val="auto"/>
              </w:rPr>
            </w:pPr>
          </w:p>
        </w:tc>
      </w:tr>
      <w:tr>
        <w:trPr>
          <w:trHeight w:val="198"/>
        </w:trPr>
        <w:tc>
          <w:tcPr>
            <w:tcW w:w="672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3,227,735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2,946,008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1D2758"/>
        </w:rPr>
        <w:t>NOTE 8 - Goodwill</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9"/>
        </w:trPr>
        <w:tc>
          <w:tcPr>
            <w:tcW w:w="5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06"/>
        </w:trPr>
        <w:tc>
          <w:tcPr>
            <w:tcW w:w="5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7"/>
                <w:szCs w:val="17"/>
                <w:color w:val="auto"/>
              </w:rPr>
            </w:pPr>
          </w:p>
        </w:tc>
        <w:tc>
          <w:tcPr>
            <w:tcW w:w="130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NA Storage</w:t>
            </w:r>
          </w:p>
        </w:tc>
        <w:tc>
          <w:tcPr>
            <w:tcW w:w="26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UK Storage</w:t>
            </w:r>
          </w:p>
        </w:tc>
        <w:tc>
          <w:tcPr>
            <w:tcW w:w="380" w:type="dxa"/>
            <w:vAlign w:val="bottom"/>
            <w:shd w:val="clear" w:color="auto" w:fill="1D2758"/>
          </w:tcPr>
          <w:p>
            <w:pPr>
              <w:spacing w:after="0"/>
              <w:rPr>
                <w:sz w:val="17"/>
                <w:szCs w:val="17"/>
                <w:color w:val="auto"/>
              </w:rPr>
            </w:pPr>
          </w:p>
        </w:tc>
        <w:tc>
          <w:tcPr>
            <w:tcW w:w="114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235,828</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726,529</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65,600</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1,027,957</w:t>
            </w:r>
          </w:p>
        </w:tc>
      </w:tr>
      <w:tr>
        <w:trPr>
          <w:trHeight w:val="205"/>
        </w:trPr>
        <w:tc>
          <w:tcPr>
            <w:tcW w:w="5140" w:type="dxa"/>
            <w:vAlign w:val="bottom"/>
          </w:tcPr>
          <w:p>
            <w:pPr>
              <w:ind w:left="220"/>
              <w:spacing w:after="0"/>
              <w:rPr>
                <w:sz w:val="20"/>
                <w:szCs w:val="20"/>
                <w:color w:val="auto"/>
              </w:rPr>
            </w:pPr>
            <w:r>
              <w:rPr>
                <w:rFonts w:ascii="Arial" w:cs="Arial" w:eastAsia="Arial" w:hAnsi="Arial"/>
                <w:sz w:val="15"/>
                <w:szCs w:val="15"/>
                <w:color w:val="auto"/>
              </w:rPr>
              <w:t>Changes to Mobile Mini purchase accounting</w:t>
            </w:r>
          </w:p>
        </w:tc>
        <w:tc>
          <w:tcPr>
            <w:tcW w:w="200" w:type="dxa"/>
            <w:vAlign w:val="bottom"/>
          </w:tcPr>
          <w:p>
            <w:pPr>
              <w:spacing w:after="0"/>
              <w:rPr>
                <w:sz w:val="17"/>
                <w:szCs w:val="17"/>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285,000</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(233,666)</w:t>
            </w:r>
          </w:p>
        </w:tc>
        <w:tc>
          <w:tcPr>
            <w:tcW w:w="260" w:type="dxa"/>
            <w:vAlign w:val="bottom"/>
          </w:tcPr>
          <w:p>
            <w:pPr>
              <w:spacing w:after="0"/>
              <w:rPr>
                <w:sz w:val="17"/>
                <w:szCs w:val="17"/>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51,334</w:t>
            </w:r>
          </w:p>
        </w:tc>
      </w:tr>
      <w:tr>
        <w:trPr>
          <w:trHeight w:val="207"/>
        </w:trPr>
        <w:tc>
          <w:tcPr>
            <w:tcW w:w="5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2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221</w:t>
            </w:r>
          </w:p>
        </w:tc>
        <w:tc>
          <w:tcPr>
            <w:tcW w:w="24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(311)</w:t>
            </w:r>
          </w:p>
        </w:tc>
        <w:tc>
          <w:tcPr>
            <w:tcW w:w="2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(502)</w:t>
            </w:r>
          </w:p>
        </w:tc>
        <w:tc>
          <w:tcPr>
            <w:tcW w:w="38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(592)</w:t>
            </w:r>
          </w:p>
        </w:tc>
      </w:tr>
      <w:tr>
        <w:trPr>
          <w:trHeight w:val="198"/>
        </w:trPr>
        <w:tc>
          <w:tcPr>
            <w:tcW w:w="5140" w:type="dxa"/>
            <w:vAlign w:val="bottom"/>
          </w:tcPr>
          <w:p>
            <w:pPr>
              <w:ind w:left="20"/>
              <w:spacing w:after="0"/>
              <w:rPr>
                <w:sz w:val="20"/>
                <w:szCs w:val="20"/>
                <w:color w:val="auto"/>
              </w:rPr>
            </w:pPr>
            <w:r>
              <w:rPr>
                <w:rFonts w:ascii="Arial" w:cs="Arial" w:eastAsia="Arial" w:hAnsi="Arial"/>
                <w:sz w:val="15"/>
                <w:szCs w:val="15"/>
                <w:color w:val="auto"/>
              </w:rPr>
              <w:t>Balance at December 31, 2021</w:t>
            </w:r>
          </w:p>
        </w:tc>
        <w:tc>
          <w:tcPr>
            <w:tcW w:w="200" w:type="dxa"/>
            <w:vAlign w:val="bottom"/>
          </w:tcPr>
          <w:p>
            <w:pPr>
              <w:spacing w:after="0"/>
              <w:rPr>
                <w:sz w:val="17"/>
                <w:szCs w:val="17"/>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521,049</w:t>
            </w:r>
          </w:p>
        </w:tc>
        <w:tc>
          <w:tcPr>
            <w:tcW w:w="240" w:type="dxa"/>
            <w:vAlign w:val="bottom"/>
          </w:tcPr>
          <w:p>
            <w:pPr>
              <w:spacing w:after="0"/>
              <w:rPr>
                <w:sz w:val="17"/>
                <w:szCs w:val="17"/>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492,552</w:t>
            </w:r>
          </w:p>
        </w:tc>
        <w:tc>
          <w:tcPr>
            <w:tcW w:w="260" w:type="dxa"/>
            <w:vAlign w:val="bottom"/>
          </w:tcPr>
          <w:p>
            <w:pPr>
              <w:spacing w:after="0"/>
              <w:rPr>
                <w:sz w:val="17"/>
                <w:szCs w:val="17"/>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65,098</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1,078,699</w:t>
            </w:r>
          </w:p>
        </w:tc>
      </w:tr>
      <w:tr>
        <w:trPr>
          <w:trHeight w:val="207"/>
        </w:trPr>
        <w:tc>
          <w:tcPr>
            <w:tcW w:w="5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2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(2,766)</w:t>
            </w:r>
          </w:p>
        </w:tc>
        <w:tc>
          <w:tcPr>
            <w:tcW w:w="24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(11,351)</w:t>
            </w:r>
          </w:p>
        </w:tc>
        <w:tc>
          <w:tcPr>
            <w:tcW w:w="38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(14,117)</w:t>
            </w:r>
          </w:p>
        </w:tc>
      </w:tr>
      <w:tr>
        <w:trPr>
          <w:trHeight w:val="198"/>
        </w:trPr>
        <w:tc>
          <w:tcPr>
            <w:tcW w:w="5140" w:type="dxa"/>
            <w:vAlign w:val="bottom"/>
          </w:tcPr>
          <w:p>
            <w:pPr>
              <w:ind w:left="20"/>
              <w:spacing w:after="0"/>
              <w:rPr>
                <w:sz w:val="20"/>
                <w:szCs w:val="20"/>
                <w:color w:val="auto"/>
              </w:rPr>
            </w:pPr>
            <w:r>
              <w:rPr>
                <w:rFonts w:ascii="Arial" w:cs="Arial" w:eastAsia="Arial" w:hAnsi="Arial"/>
                <w:sz w:val="15"/>
                <w:szCs w:val="15"/>
                <w:color w:val="auto"/>
              </w:rPr>
              <w:t>Balance at September 30, 2022</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518,283</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492,552</w:t>
            </w: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53,747</w:t>
            </w:r>
          </w:p>
        </w:tc>
        <w:tc>
          <w:tcPr>
            <w:tcW w:w="3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1,064,582</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no goodwill impairment during the nine months ended September 30, 2022 or the year ended 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9 - Intangibles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60"/>
              <w:spacing w:after="0"/>
              <w:rPr>
                <w:sz w:val="20"/>
                <w:szCs w:val="20"/>
                <w:color w:val="auto"/>
              </w:rPr>
            </w:pPr>
            <w:r>
              <w:rPr>
                <w:rFonts w:ascii="Arial" w:cs="Arial" w:eastAsia="Arial" w:hAnsi="Arial"/>
                <w:sz w:val="15"/>
                <w:szCs w:val="15"/>
                <w:b w:val="1"/>
                <w:bCs w:val="1"/>
                <w:color w:val="FFFFFF"/>
              </w:rPr>
              <w:t>September 30, 2022</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5.7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199,000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(57,646)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141,354</w:t>
            </w:r>
          </w:p>
        </w:tc>
        <w:tc>
          <w:tcPr>
            <w:tcW w:w="0" w:type="dxa"/>
            <w:vAlign w:val="bottom"/>
          </w:tcPr>
          <w:p>
            <w:pPr>
              <w:spacing w:after="0"/>
              <w:rPr>
                <w:sz w:val="1"/>
                <w:szCs w:val="1"/>
                <w:color w:val="auto"/>
              </w:rPr>
            </w:pPr>
          </w:p>
        </w:tc>
      </w:tr>
      <w:tr>
        <w:trPr>
          <w:trHeight w:val="207"/>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3.8</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937</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489,500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(58,209)</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431,291</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80"/>
              <w:spacing w:after="0"/>
              <w:rPr>
                <w:sz w:val="20"/>
                <w:szCs w:val="20"/>
                <w:color w:val="auto"/>
              </w:rPr>
            </w:pPr>
            <w:r>
              <w:rPr>
                <w:rFonts w:ascii="Arial" w:cs="Arial" w:eastAsia="Arial" w:hAnsi="Arial"/>
                <w:sz w:val="15"/>
                <w:szCs w:val="15"/>
                <w:b w:val="1"/>
                <w:bCs w:val="1"/>
                <w:color w:val="FFFFFF"/>
              </w:rPr>
              <w:t>December 31, 2021</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6.6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199,000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(37,197)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161,803</w:t>
            </w:r>
          </w:p>
        </w:tc>
        <w:tc>
          <w:tcPr>
            <w:tcW w:w="0" w:type="dxa"/>
            <w:vAlign w:val="bottom"/>
          </w:tcPr>
          <w:p>
            <w:pPr>
              <w:spacing w:after="0"/>
              <w:rPr>
                <w:sz w:val="1"/>
                <w:szCs w:val="1"/>
                <w:color w:val="auto"/>
              </w:rPr>
            </w:pPr>
          </w:p>
        </w:tc>
      </w:tr>
      <w:tr>
        <w:trPr>
          <w:trHeight w:val="207"/>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4.5</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489,500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(37,572)</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451,928</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Amortization expense related to intangible assets was $6.0 million and $6.6 million for the three months ended September 30, 2022 and 2021, respectively, and $19.2 million and $20.0 million for the nine months ended September 30, 2022 and 2021, respectively.</w:t>
      </w:r>
    </w:p>
    <w:p>
      <w:pPr>
        <w:ind w:left="620"/>
        <w:spacing w:after="0"/>
        <w:rPr>
          <w:sz w:val="20"/>
          <w:szCs w:val="20"/>
          <w:color w:val="auto"/>
        </w:rPr>
      </w:pPr>
      <w:r>
        <w:rPr>
          <w:rFonts w:ascii="Arial" w:cs="Arial" w:eastAsia="Arial" w:hAnsi="Arial"/>
          <w:sz w:val="15"/>
          <w:szCs w:val="15"/>
          <w:color w:val="auto"/>
        </w:rPr>
        <w:t>Based on the carrying value at September 30, 2022, future amortization of intangible assets is expected to be as follows for the years ended December 31: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2022 (remaining)</w:t>
            </w:r>
          </w:p>
        </w:tc>
        <w:tc>
          <w:tcPr>
            <w:tcW w:w="980" w:type="dxa"/>
            <w:vAlign w:val="bottom"/>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6,583</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25,583</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2024</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25,583</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25,583</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2026</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23,897</w:t>
            </w:r>
          </w:p>
        </w:tc>
      </w:tr>
      <w:tr>
        <w:trPr>
          <w:trHeight w:val="206"/>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Thereafter</w:t>
            </w:r>
          </w:p>
        </w:tc>
        <w:tc>
          <w:tcPr>
            <w:tcW w:w="9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35,062</w:t>
            </w:r>
          </w:p>
        </w:tc>
      </w:tr>
      <w:tr>
        <w:trPr>
          <w:trHeight w:val="200"/>
        </w:trPr>
        <w:tc>
          <w:tcPr>
            <w:tcW w:w="8760" w:type="dxa"/>
            <w:vAlign w:val="bottom"/>
          </w:tcPr>
          <w:p>
            <w:pPr>
              <w:ind w:left="120"/>
              <w:spacing w:after="0"/>
              <w:rPr>
                <w:sz w:val="20"/>
                <w:szCs w:val="20"/>
                <w:color w:val="auto"/>
              </w:rPr>
            </w:pPr>
            <w:r>
              <w:rPr>
                <w:rFonts w:ascii="Arial" w:cs="Arial" w:eastAsia="Arial" w:hAnsi="Arial"/>
                <w:sz w:val="15"/>
                <w:szCs w:val="15"/>
                <w:color w:val="auto"/>
              </w:rPr>
              <w:t>Total</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142,291</w:t>
            </w:r>
          </w:p>
        </w:tc>
      </w:tr>
      <w:tr>
        <w:trPr>
          <w:trHeight w:val="20"/>
        </w:trPr>
        <w:tc>
          <w:tcPr>
            <w:tcW w:w="8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NOTE 10 - Debt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gridSpan w:val="3"/>
          </w:tcPr>
          <w:p>
            <w:pPr>
              <w:ind w:left="62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30"/>
        </w:trPr>
        <w:tc>
          <w:tcPr>
            <w:tcW w:w="36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06"/>
        </w:trPr>
        <w:tc>
          <w:tcPr>
            <w:tcW w:w="3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2240" w:type="dxa"/>
            <w:vAlign w:val="bottom"/>
            <w:shd w:val="clear" w:color="auto" w:fill="1D2758"/>
          </w:tcPr>
          <w:p>
            <w:pPr>
              <w:jc w:val="center"/>
              <w:ind w:left="563"/>
              <w:spacing w:after="0"/>
              <w:rPr>
                <w:sz w:val="20"/>
                <w:szCs w:val="20"/>
                <w:color w:val="auto"/>
              </w:rPr>
            </w:pPr>
            <w:r>
              <w:rPr>
                <w:rFonts w:ascii="Arial" w:cs="Arial" w:eastAsia="Arial" w:hAnsi="Arial"/>
                <w:sz w:val="15"/>
                <w:szCs w:val="15"/>
                <w:b w:val="1"/>
                <w:bCs w:val="1"/>
                <w:color w:val="FFFFFF"/>
              </w:rPr>
              <w:t>Interest rate</w:t>
            </w:r>
          </w:p>
        </w:tc>
        <w:tc>
          <w:tcPr>
            <w:tcW w:w="19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100" w:type="dxa"/>
            <w:vAlign w:val="bottom"/>
            <w:shd w:val="clear" w:color="auto" w:fill="1D2758"/>
          </w:tcPr>
          <w:p>
            <w:pPr>
              <w:spacing w:after="0"/>
              <w:rPr>
                <w:sz w:val="17"/>
                <w:szCs w:val="17"/>
                <w:color w:val="auto"/>
              </w:rPr>
            </w:pPr>
          </w:p>
        </w:tc>
        <w:tc>
          <w:tcPr>
            <w:tcW w:w="168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September 30, 2022</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240" w:type="dxa"/>
            <w:vAlign w:val="bottom"/>
            <w:shd w:val="clear" w:color="auto" w:fill="DBDBDB"/>
          </w:tcPr>
          <w:p>
            <w:pPr>
              <w:jc w:val="center"/>
              <w:ind w:left="563"/>
              <w:spacing w:after="0"/>
              <w:rPr>
                <w:sz w:val="20"/>
                <w:szCs w:val="20"/>
                <w:color w:val="auto"/>
              </w:rPr>
            </w:pPr>
            <w:r>
              <w:rPr>
                <w:rFonts w:ascii="Arial" w:cs="Arial" w:eastAsia="Arial" w:hAnsi="Arial"/>
                <w:sz w:val="15"/>
                <w:szCs w:val="15"/>
                <w:color w:val="auto"/>
              </w:rPr>
              <w:t>6.125%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519,778</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518,117</w:t>
            </w:r>
          </w:p>
        </w:tc>
      </w:tr>
      <w:tr>
        <w:trPr>
          <w:trHeight w:val="206"/>
        </w:trPr>
        <w:tc>
          <w:tcPr>
            <w:tcW w:w="3620" w:type="dxa"/>
            <w:vAlign w:val="bottom"/>
          </w:tcPr>
          <w:p>
            <w:pPr>
              <w:ind w:left="20"/>
              <w:spacing w:after="0" w:line="207" w:lineRule="exact"/>
              <w:rPr>
                <w:sz w:val="20"/>
                <w:szCs w:val="20"/>
                <w:color w:val="auto"/>
              </w:rPr>
            </w:pPr>
            <w:r>
              <w:rPr>
                <w:rFonts w:ascii="Arial" w:cs="Arial" w:eastAsia="Arial" w:hAnsi="Arial"/>
                <w:sz w:val="15"/>
                <w:szCs w:val="15"/>
                <w:color w:val="auto"/>
              </w:rPr>
              <w:t>ABL Facility</w:t>
            </w:r>
            <w:r>
              <w:rPr>
                <w:rFonts w:ascii="Arial" w:cs="Arial" w:eastAsia="Arial" w:hAnsi="Arial"/>
                <w:sz w:val="20"/>
                <w:szCs w:val="20"/>
                <w:color w:val="auto"/>
                <w:vertAlign w:val="superscript"/>
              </w:rPr>
              <w:t>(a)</w:t>
            </w:r>
          </w:p>
        </w:tc>
        <w:tc>
          <w:tcPr>
            <w:tcW w:w="2240" w:type="dxa"/>
            <w:vAlign w:val="bottom"/>
          </w:tcPr>
          <w:p>
            <w:pPr>
              <w:jc w:val="center"/>
              <w:ind w:left="563"/>
              <w:spacing w:after="0"/>
              <w:rPr>
                <w:sz w:val="20"/>
                <w:szCs w:val="20"/>
                <w:color w:val="auto"/>
              </w:rPr>
            </w:pPr>
            <w:r>
              <w:rPr>
                <w:rFonts w:ascii="Arial" w:cs="Arial" w:eastAsia="Arial" w:hAnsi="Arial"/>
                <w:sz w:val="15"/>
                <w:szCs w:val="15"/>
                <w:color w:val="auto"/>
              </w:rPr>
              <w:t>Varies</w:t>
            </w:r>
          </w:p>
        </w:tc>
        <w:tc>
          <w:tcPr>
            <w:tcW w:w="1900" w:type="dxa"/>
            <w:vAlign w:val="bottom"/>
          </w:tcPr>
          <w:p>
            <w:pPr>
              <w:jc w:val="center"/>
              <w:spacing w:after="0"/>
              <w:rPr>
                <w:sz w:val="20"/>
                <w:szCs w:val="20"/>
                <w:color w:val="auto"/>
              </w:rPr>
            </w:pPr>
            <w:r>
              <w:rPr>
                <w:rFonts w:ascii="Arial" w:cs="Arial" w:eastAsia="Arial" w:hAnsi="Arial"/>
                <w:sz w:val="15"/>
                <w:szCs w:val="15"/>
                <w:color w:val="auto"/>
              </w:rPr>
              <w:t>2027</w:t>
            </w:r>
          </w:p>
        </w:tc>
        <w:tc>
          <w:tcPr>
            <w:tcW w:w="10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1,863,451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1,612,783</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2240" w:type="dxa"/>
            <w:vAlign w:val="bottom"/>
            <w:shd w:val="clear" w:color="auto" w:fill="DBDBDB"/>
          </w:tcPr>
          <w:p>
            <w:pPr>
              <w:jc w:val="center"/>
              <w:ind w:left="563"/>
              <w:spacing w:after="0"/>
              <w:rPr>
                <w:sz w:val="20"/>
                <w:szCs w:val="20"/>
                <w:color w:val="auto"/>
              </w:rPr>
            </w:pPr>
            <w:r>
              <w:rPr>
                <w:rFonts w:ascii="Arial" w:cs="Arial" w:eastAsia="Arial" w:hAnsi="Arial"/>
                <w:sz w:val="15"/>
                <w:szCs w:val="15"/>
                <w:color w:val="auto"/>
              </w:rPr>
              <w:t>4.625%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100" w:type="dxa"/>
            <w:vAlign w:val="bottom"/>
            <w:shd w:val="clear" w:color="auto" w:fill="DBDBDB"/>
          </w:tcPr>
          <w:p>
            <w:pPr>
              <w:spacing w:after="0"/>
              <w:rPr>
                <w:sz w:val="17"/>
                <w:szCs w:val="17"/>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493,220</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492,490</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2240" w:type="dxa"/>
            <w:vAlign w:val="bottom"/>
            <w:tcBorders>
              <w:bottom w:val="single" w:sz="8" w:color="DBDBDB"/>
            </w:tcBorders>
          </w:tcPr>
          <w:p>
            <w:pPr>
              <w:jc w:val="center"/>
              <w:ind w:left="563"/>
              <w:spacing w:after="0"/>
              <w:rPr>
                <w:sz w:val="20"/>
                <w:szCs w:val="20"/>
                <w:color w:val="auto"/>
              </w:rPr>
            </w:pPr>
            <w:r>
              <w:rPr>
                <w:rFonts w:ascii="Arial" w:cs="Arial" w:eastAsia="Arial" w:hAnsi="Arial"/>
                <w:sz w:val="15"/>
                <w:szCs w:val="15"/>
                <w:color w:val="auto"/>
              </w:rPr>
              <w:t>Varies</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rPr>
              <w:t>Varies</w:t>
            </w: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72,848</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65,563</w:t>
            </w:r>
          </w:p>
        </w:tc>
      </w:tr>
      <w:tr>
        <w:trPr>
          <w:trHeight w:val="200"/>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224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2,949,297</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2,688,953</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2240" w:type="dxa"/>
            <w:vAlign w:val="bottom"/>
            <w:tcBorders>
              <w:bottom w:val="single" w:sz="8" w:color="DBDBDB"/>
            </w:tcBorders>
          </w:tcPr>
          <w:p>
            <w:pPr>
              <w:spacing w:after="0"/>
              <w:rPr>
                <w:sz w:val="17"/>
                <w:szCs w:val="17"/>
                <w:color w:val="auto"/>
              </w:rPr>
            </w:pPr>
          </w:p>
        </w:tc>
        <w:tc>
          <w:tcPr>
            <w:tcW w:w="19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13,497</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11,968</w:t>
            </w:r>
          </w:p>
        </w:tc>
      </w:tr>
      <w:tr>
        <w:trPr>
          <w:trHeight w:val="224"/>
        </w:trPr>
        <w:tc>
          <w:tcPr>
            <w:tcW w:w="36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long-term debt</w:t>
            </w:r>
          </w:p>
        </w:tc>
        <w:tc>
          <w:tcPr>
            <w:tcW w:w="2240" w:type="dxa"/>
            <w:vAlign w:val="bottom"/>
            <w:tcBorders>
              <w:bottom w:val="single" w:sz="8" w:color="DBDBDB"/>
            </w:tcBorders>
            <w:shd w:val="clear" w:color="auto" w:fill="DBDBDB"/>
          </w:tcPr>
          <w:p>
            <w:pPr>
              <w:spacing w:after="0"/>
              <w:rPr>
                <w:sz w:val="19"/>
                <w:szCs w:val="19"/>
                <w:color w:val="auto"/>
              </w:rPr>
            </w:pPr>
          </w:p>
        </w:tc>
        <w:tc>
          <w:tcPr>
            <w:tcW w:w="19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2,935,800</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2,676,985</w:t>
            </w:r>
          </w:p>
        </w:tc>
      </w:tr>
      <w:tr>
        <w:trPr>
          <w:trHeight w:val="20"/>
        </w:trPr>
        <w:tc>
          <w:tcPr>
            <w:tcW w:w="3620" w:type="dxa"/>
            <w:vAlign w:val="bottom"/>
            <w:tcBorders>
              <w:top w:val="single" w:sz="8" w:color="DBDBDB"/>
            </w:tcBorders>
          </w:tcPr>
          <w:p>
            <w:pPr>
              <w:spacing w:after="0" w:line="20" w:lineRule="exact"/>
              <w:rPr>
                <w:sz w:val="1"/>
                <w:szCs w:val="1"/>
                <w:color w:val="auto"/>
              </w:rPr>
            </w:pPr>
          </w:p>
        </w:tc>
        <w:tc>
          <w:tcPr>
            <w:tcW w:w="2240" w:type="dxa"/>
            <w:vAlign w:val="bottom"/>
            <w:tcBorders>
              <w:top w:val="single" w:sz="8" w:color="DBDBDB"/>
            </w:tcBorders>
          </w:tcPr>
          <w:p>
            <w:pPr>
              <w:spacing w:after="0" w:line="20" w:lineRule="exact"/>
              <w:rPr>
                <w:sz w:val="1"/>
                <w:szCs w:val="1"/>
                <w:color w:val="auto"/>
              </w:rPr>
            </w:pPr>
          </w:p>
        </w:tc>
        <w:tc>
          <w:tcPr>
            <w:tcW w:w="1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
        <w:spacing w:after="0" w:line="259" w:lineRule="auto"/>
        <w:tabs>
          <w:tab w:leader="none" w:pos="218"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both September 30, 2022 and December 31, 2021, the Company had no outstanding principal borrowings on the multicurrency revolving credit facility and $4.4 million and $6.2 million, respectively, of related debt issuance costs. No related debt issuance costs were recorded as a direct offset against the principal borrowings on the Multicurrency Facility, and the $4.4 million and $6.2 million in excess of principal was included in other non-current assets on the condensed consolidated balance sheets as of September 30, 2022 and December 31, 2021,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July 1, 2020, certain subsidiaries of the Company entered into an asset-based credit agreement (the "ABL Facility") that initially provided for revolving credit facilities in the aggregate principal amount of up to $2.4 billion, consisting of: (i) a senior secured asset-based US dollar revolving credit facility in the aggregate principal amount of $2.0 billion and (ii) a $400.0 million senior secured asset-based multicurrency revolving credit facility available to be drawn in US Dollars, Canadian Dollars, British Pounds Sterling or Euros. The ABL Facility was initially scheduled to mature on July 1, 2025.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8" w:name="page19"/>
    <w:bookmarkEnd w:id="18"/>
    <w:p>
      <w:pPr>
        <w:jc w:val="both"/>
        <w:ind w:firstLine="619"/>
        <w:spacing w:after="0" w:line="271" w:lineRule="auto"/>
        <w:rPr>
          <w:sz w:val="20"/>
          <w:szCs w:val="20"/>
          <w:color w:val="auto"/>
        </w:rPr>
      </w:pPr>
      <w:r>
        <w:rPr>
          <w:rFonts w:ascii="Arial" w:cs="Arial" w:eastAsia="Arial" w:hAnsi="Arial"/>
          <w:sz w:val="15"/>
          <w:szCs w:val="15"/>
          <w:color w:val="auto"/>
        </w:rPr>
        <w:t>Borrowings under ABL Facility bear interest at a base rate plus an applicable margin determined quarterly by reference to the Company's excess availability for the most recently completed quarter. Effective January 7, 2022, borrowings were subject to the highest applicable margin and bore interest at (i) in the case of US Dollars, at the borrower's option, either an adjusted LIBOR rate plus 2.125% or an alternative base rate plus 1.125%, (ii) in the case of Canadian Dollars, at the borrower's option, either a Canadian BA rate plus 2.125% or Canadian prime rate plus 1.125%, (iii) in the case of Euros, the EURIBOR rate plus 2.125%, and (iv) in the case of British Pounds Sterling, the SONIA rate plus 2.125%.</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June 30, 2022, certain subsidiaries of the Company entered into an amendment to the ABL Facility to, among other things, extend the expiration date until June 30, 2027 and increase the aggregate principal amount of the revolving credit facilities to $3.7 billion, consisting of: (i) a senior secured asset-based US dollar revolving credit facility in the aggregate principal amount of $3.3 billion (the “US Facility”) and (ii) a $400.0 million senior secured asset-based multicurrency revolving credit facility (the "Multicurrency Facility"), available to be drawn in US Dollars, Canadian Dollars, British Pounds Sterling or Euros.</w:t>
      </w:r>
    </w:p>
    <w:p>
      <w:pPr>
        <w:spacing w:after="0" w:line="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amendment also converted the interest rate for borrowings denominated in US dollars from a LIBOR-based rate to a Term SOFR-based rate with an interest period of one month and adjusted the applicable margins. The applicable margin for Canadian BA rate, Term SOFR, British Pounds Sterling and Euros loans is 1.50%. The applicable margin for base rate and Canadian Prime Rate loans is 0.50%. The applicable margins are subject to one step down of 0.25% based on excess availability or one step up of 0.25% based on the Company's leverage ratio. The ABL Facility requires the payment of an annual commitment fee on the unused available borrowings of 0.20% annually. At September 30, 2022, the weighted average interest rate for borrowings under the ABL Facility was 4.46%.</w:t>
      </w:r>
    </w:p>
    <w:p>
      <w:pPr>
        <w:spacing w:after="0" w:line="1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Line Cap. At September 30, 2022, the Company had $1.9 billion outstanding principal under the ABL Facility, the Line Cap was $3.0 billion, and the Company had $1.1 billion of available borrowing capacity under the ABL Facility, including $821.3 million under the US Facility and $292.1 million under the Multicurrency Facility. At September 30, 2022, borrowing capacity under the ABL Facility allowed for up to $204.9 million of letters of credit and up to $220.0 million of swingline loans. The Company had issued $15.1 million of standby letters of credit under the ABL Facility at September 30, 2022. At September 30, 2022, letters of credit and bank guarantees carried fees of 1.625% annually.</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Debt issuance costs of $33.6 million were included in the carrying value of the ABL Facility at September 30, 2022.</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maintains finance leases primarily related to transportation equipment. At September 30, 2022 and December 31, 2021, obligations under finance leases for transportation related equipment were $72.8 million and $65.6 million, respectively. Refer to Note 5 for further information.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is in compliance with all debt covenants and restrictions for the aforementioned debt instruments as of September 30, 2022.</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1D2758"/>
        </w:rPr>
        <w:t>NOTE 11 – Equity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In connection with the stock compensation vesting events and stock option exercises described in Note 15, and the warrant exercises described in Note 12, the Company issued 1,860,778 shares of Common Stock during the nine months ended September 30, 2022.</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July 2022, the Company's Board of Directors approved an increase to the share repurchase program that authorizes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and conditions, business, legal, accounting, and other considerations. During the nine months ended September 30, 2022, the Company repurchased 14,575,160 shares of Common Stock and stock equivalents for $524.4 million. As of September 30, 2022, $863.3 million of the approved repurchase amount remained available.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nine months ended September 30, 2022 and 2021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180" w:type="dxa"/>
            <w:vAlign w:val="bottom"/>
            <w:gridSpan w:val="6"/>
            <w:shd w:val="clear" w:color="auto" w:fill="1D2758"/>
          </w:tcPr>
          <w:p>
            <w:pPr>
              <w:jc w:val="center"/>
              <w:ind w:left="943"/>
              <w:spacing w:after="0"/>
              <w:rPr>
                <w:sz w:val="20"/>
                <w:szCs w:val="20"/>
                <w:color w:val="auto"/>
              </w:rPr>
            </w:pPr>
            <w:r>
              <w:rPr>
                <w:rFonts w:ascii="Arial" w:cs="Arial" w:eastAsia="Arial" w:hAnsi="Arial"/>
                <w:sz w:val="15"/>
                <w:szCs w:val="15"/>
                <w:b w:val="1"/>
                <w:bCs w:val="1"/>
                <w:color w:val="FFFFFF"/>
              </w:rPr>
              <w:t>Nine Months Ended September 30, 2022</w:t>
            </w:r>
          </w:p>
        </w:tc>
        <w:tc>
          <w:tcPr>
            <w:tcW w:w="12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280"/>
              <w:spacing w:after="0" w:line="155" w:lineRule="exact"/>
              <w:rPr>
                <w:sz w:val="20"/>
                <w:szCs w:val="20"/>
                <w:color w:val="auto"/>
              </w:rPr>
            </w:pPr>
            <w:r>
              <w:rPr>
                <w:rFonts w:ascii="Arial" w:cs="Arial" w:eastAsia="Arial" w:hAnsi="Arial"/>
                <w:sz w:val="15"/>
                <w:szCs w:val="15"/>
                <w:b w:val="1"/>
                <w:bCs w:val="1"/>
                <w:color w:val="FFFFFF"/>
              </w:rPr>
              <w:t>Foreign currency</w:t>
            </w:r>
          </w:p>
        </w:tc>
        <w:tc>
          <w:tcPr>
            <w:tcW w:w="120" w:type="dxa"/>
            <w:vAlign w:val="bottom"/>
            <w:shd w:val="clear" w:color="auto" w:fill="1D2758"/>
          </w:tcPr>
          <w:p>
            <w:pPr>
              <w:spacing w:after="0"/>
              <w:rPr>
                <w:sz w:val="13"/>
                <w:szCs w:val="13"/>
                <w:color w:val="auto"/>
              </w:rPr>
            </w:pPr>
          </w:p>
        </w:tc>
        <w:tc>
          <w:tcPr>
            <w:tcW w:w="178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580" w:type="dxa"/>
            <w:vAlign w:val="bottom"/>
            <w:shd w:val="clear" w:color="auto" w:fill="1D2758"/>
          </w:tcPr>
          <w:p>
            <w:pPr>
              <w:spacing w:after="0"/>
              <w:rPr>
                <w:sz w:val="13"/>
                <w:szCs w:val="13"/>
                <w:color w:val="auto"/>
              </w:rPr>
            </w:pPr>
          </w:p>
        </w:tc>
        <w:tc>
          <w:tcPr>
            <w:tcW w:w="120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20" w:type="dxa"/>
            <w:vAlign w:val="bottom"/>
            <w:shd w:val="clear" w:color="auto" w:fill="1D2758"/>
          </w:tcPr>
          <w:p>
            <w:pPr>
              <w:spacing w:after="0"/>
              <w:rPr>
                <w:sz w:val="17"/>
                <w:szCs w:val="17"/>
                <w:color w:val="auto"/>
              </w:rPr>
            </w:pPr>
          </w:p>
        </w:tc>
        <w:tc>
          <w:tcPr>
            <w:tcW w:w="178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hedging activities</w:t>
            </w:r>
          </w:p>
        </w:tc>
        <w:tc>
          <w:tcPr>
            <w:tcW w:w="580" w:type="dxa"/>
            <w:vAlign w:val="bottom"/>
            <w:shd w:val="clear" w:color="auto" w:fill="1D2758"/>
          </w:tcPr>
          <w:p>
            <w:pPr>
              <w:spacing w:after="0"/>
              <w:rPr>
                <w:sz w:val="17"/>
                <w:szCs w:val="17"/>
                <w:color w:val="auto"/>
              </w:rPr>
            </w:pPr>
          </w:p>
        </w:tc>
        <w:tc>
          <w:tcPr>
            <w:tcW w:w="12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(25,574)</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(3,497)</w:t>
            </w: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(4,074)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(569)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(4,643)</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shd w:val="clear" w:color="auto" w:fill="DBDBDB"/>
          </w:tcPr>
          <w:p>
            <w:pPr>
              <w:spacing w:after="0"/>
              <w:rPr>
                <w:sz w:val="18"/>
                <w:szCs w:val="18"/>
                <w:color w:val="auto"/>
              </w:rPr>
            </w:pPr>
          </w:p>
        </w:tc>
        <w:tc>
          <w:tcPr>
            <w:tcW w:w="1700" w:type="dxa"/>
            <w:vAlign w:val="bottom"/>
            <w:tcBorders>
              <w:bottom w:val="single" w:sz="8" w:color="auto"/>
            </w:tcBorders>
            <w:gridSpan w:val="2"/>
            <w:shd w:val="clear" w:color="auto" w:fill="DBDBDB"/>
          </w:tcPr>
          <w:p>
            <w:pPr>
              <w:ind w:left="13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10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(29,648)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(1,176)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(30,824)</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(25,628)</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(464)</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(26,092)</w:t>
            </w:r>
          </w:p>
        </w:tc>
        <w:tc>
          <w:tcPr>
            <w:tcW w:w="0" w:type="dxa"/>
            <w:vAlign w:val="bottom"/>
          </w:tcPr>
          <w:p>
            <w:pPr>
              <w:spacing w:after="0"/>
              <w:rPr>
                <w:sz w:val="1"/>
                <w:szCs w:val="1"/>
                <w:color w:val="auto"/>
              </w:rPr>
            </w:pPr>
          </w:p>
        </w:tc>
      </w:tr>
      <w:tr>
        <w:trPr>
          <w:trHeight w:val="205"/>
        </w:trPr>
        <w:tc>
          <w:tcPr>
            <w:tcW w:w="5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3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w:t>
            </w:r>
          </w:p>
        </w:tc>
        <w:tc>
          <w:tcPr>
            <w:tcW w:w="0" w:type="dxa"/>
            <w:vAlign w:val="bottom"/>
          </w:tcPr>
          <w:p>
            <w:pPr>
              <w:spacing w:after="0"/>
              <w:rPr>
                <w:sz w:val="1"/>
                <w:szCs w:val="1"/>
                <w:color w:val="auto"/>
              </w:rPr>
            </w:pPr>
          </w:p>
        </w:tc>
      </w:tr>
      <w:tr>
        <w:trPr>
          <w:trHeight w:val="200"/>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2022</w:t>
            </w:r>
          </w:p>
        </w:tc>
        <w:tc>
          <w:tcPr>
            <w:tcW w:w="18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0" w:type="dxa"/>
            <w:vAlign w:val="bottom"/>
          </w:tcPr>
          <w:p>
            <w:pPr>
              <w:spacing w:after="0"/>
              <w:rPr>
                <w:sz w:val="1"/>
                <w:szCs w:val="1"/>
                <w:color w:val="auto"/>
              </w:rPr>
            </w:pPr>
          </w:p>
        </w:tc>
      </w:tr>
      <w:tr>
        <w:trPr>
          <w:trHeight w:val="205"/>
        </w:trPr>
        <w:tc>
          <w:tcPr>
            <w:tcW w:w="5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comprehensive loss</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(37,733)</w:t>
            </w:r>
          </w:p>
        </w:tc>
        <w:tc>
          <w:tcPr>
            <w:tcW w:w="10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BDBDB"/>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(37,733)</w:t>
            </w:r>
          </w:p>
        </w:tc>
        <w:tc>
          <w:tcPr>
            <w:tcW w:w="0" w:type="dxa"/>
            <w:vAlign w:val="bottom"/>
          </w:tcPr>
          <w:p>
            <w:pPr>
              <w:spacing w:after="0"/>
              <w:rPr>
                <w:sz w:val="1"/>
                <w:szCs w:val="1"/>
                <w:color w:val="auto"/>
              </w:rPr>
            </w:pPr>
          </w:p>
        </w:tc>
      </w:tr>
      <w:tr>
        <w:trPr>
          <w:trHeight w:val="219"/>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September 30, 2022</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(93,009)</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(93,009)</w:t>
            </w:r>
          </w:p>
        </w:tc>
        <w:tc>
          <w:tcPr>
            <w:tcW w:w="0" w:type="dxa"/>
            <w:vAlign w:val="bottom"/>
          </w:tcPr>
          <w:p>
            <w:pPr>
              <w:spacing w:after="0"/>
              <w:rPr>
                <w:sz w:val="1"/>
                <w:szCs w:val="1"/>
                <w:color w:val="auto"/>
              </w:rPr>
            </w:pP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180" w:type="dxa"/>
            <w:vAlign w:val="bottom"/>
            <w:gridSpan w:val="4"/>
            <w:shd w:val="clear" w:color="auto" w:fill="1D2758"/>
          </w:tcPr>
          <w:p>
            <w:pPr>
              <w:jc w:val="center"/>
              <w:ind w:left="943"/>
              <w:spacing w:after="0"/>
              <w:rPr>
                <w:sz w:val="20"/>
                <w:szCs w:val="20"/>
                <w:color w:val="auto"/>
              </w:rPr>
            </w:pPr>
            <w:r>
              <w:rPr>
                <w:rFonts w:ascii="Arial" w:cs="Arial" w:eastAsia="Arial" w:hAnsi="Arial"/>
                <w:sz w:val="15"/>
                <w:szCs w:val="15"/>
                <w:b w:val="1"/>
                <w:bCs w:val="1"/>
                <w:color w:val="FFFFFF"/>
              </w:rPr>
              <w:t>Nine Months Ended September 30, 2021</w:t>
            </w:r>
          </w:p>
        </w:tc>
        <w:tc>
          <w:tcPr>
            <w:tcW w:w="12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640" w:type="dxa"/>
            <w:vAlign w:val="bottom"/>
            <w:shd w:val="clear" w:color="auto" w:fill="1D2758"/>
          </w:tcPr>
          <w:p>
            <w:pPr>
              <w:jc w:val="right"/>
              <w:ind w:right="223"/>
              <w:spacing w:after="0" w:line="155" w:lineRule="exact"/>
              <w:rPr>
                <w:sz w:val="20"/>
                <w:szCs w:val="20"/>
                <w:color w:val="auto"/>
              </w:rPr>
            </w:pPr>
            <w:r>
              <w:rPr>
                <w:rFonts w:ascii="Arial" w:cs="Arial" w:eastAsia="Arial" w:hAnsi="Arial"/>
                <w:sz w:val="15"/>
                <w:szCs w:val="15"/>
                <w:b w:val="1"/>
                <w:bCs w:val="1"/>
                <w:color w:val="FFFFFF"/>
              </w:rPr>
              <w:t>Foreign currency</w:t>
            </w:r>
          </w:p>
        </w:tc>
        <w:tc>
          <w:tcPr>
            <w:tcW w:w="180" w:type="dxa"/>
            <w:vAlign w:val="bottom"/>
            <w:shd w:val="clear" w:color="auto" w:fill="1D2758"/>
          </w:tcPr>
          <w:p>
            <w:pPr>
              <w:spacing w:after="0"/>
              <w:rPr>
                <w:sz w:val="13"/>
                <w:szCs w:val="13"/>
                <w:color w:val="auto"/>
              </w:rPr>
            </w:pPr>
          </w:p>
        </w:tc>
        <w:tc>
          <w:tcPr>
            <w:tcW w:w="1720" w:type="dxa"/>
            <w:vAlign w:val="bottom"/>
            <w:shd w:val="clear" w:color="auto" w:fill="1D2758"/>
          </w:tcPr>
          <w:p>
            <w:pPr>
              <w:jc w:val="center"/>
              <w:ind w:right="83"/>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640" w:type="dxa"/>
            <w:vAlign w:val="bottom"/>
            <w:shd w:val="clear" w:color="auto" w:fill="1D2758"/>
          </w:tcPr>
          <w:p>
            <w:pPr>
              <w:spacing w:after="0"/>
              <w:rPr>
                <w:sz w:val="13"/>
                <w:szCs w:val="13"/>
                <w:color w:val="auto"/>
              </w:rPr>
            </w:pPr>
          </w:p>
        </w:tc>
        <w:tc>
          <w:tcPr>
            <w:tcW w:w="120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translation</w:t>
            </w:r>
          </w:p>
        </w:tc>
        <w:tc>
          <w:tcPr>
            <w:tcW w:w="180" w:type="dxa"/>
            <w:vAlign w:val="bottom"/>
            <w:shd w:val="clear" w:color="auto" w:fill="1D2758"/>
          </w:tcPr>
          <w:p>
            <w:pPr>
              <w:spacing w:after="0"/>
              <w:rPr>
                <w:sz w:val="17"/>
                <w:szCs w:val="17"/>
                <w:color w:val="auto"/>
              </w:rPr>
            </w:pPr>
          </w:p>
        </w:tc>
        <w:tc>
          <w:tcPr>
            <w:tcW w:w="1720" w:type="dxa"/>
            <w:vAlign w:val="bottom"/>
            <w:shd w:val="clear" w:color="auto" w:fill="1D2758"/>
          </w:tcPr>
          <w:p>
            <w:pPr>
              <w:jc w:val="center"/>
              <w:ind w:right="83"/>
              <w:spacing w:after="0"/>
              <w:rPr>
                <w:sz w:val="20"/>
                <w:szCs w:val="20"/>
                <w:color w:val="auto"/>
              </w:rPr>
            </w:pPr>
            <w:r>
              <w:rPr>
                <w:rFonts w:ascii="Arial" w:cs="Arial" w:eastAsia="Arial" w:hAnsi="Arial"/>
                <w:sz w:val="15"/>
                <w:szCs w:val="15"/>
                <w:b w:val="1"/>
                <w:bCs w:val="1"/>
                <w:color w:val="FFFFFF"/>
              </w:rPr>
              <w:t>hedging activities</w:t>
            </w:r>
          </w:p>
        </w:tc>
        <w:tc>
          <w:tcPr>
            <w:tcW w:w="640" w:type="dxa"/>
            <w:vAlign w:val="bottom"/>
            <w:shd w:val="clear" w:color="auto" w:fill="1D2758"/>
          </w:tcPr>
          <w:p>
            <w:pPr>
              <w:spacing w:after="0"/>
              <w:rPr>
                <w:sz w:val="17"/>
                <w:szCs w:val="17"/>
                <w:color w:val="auto"/>
              </w:rPr>
            </w:pPr>
          </w:p>
        </w:tc>
        <w:tc>
          <w:tcPr>
            <w:tcW w:w="120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(24,694)</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(12,513)</w:t>
            </w:r>
          </w:p>
        </w:tc>
        <w:tc>
          <w:tcPr>
            <w:tcW w:w="64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17"/>
                <w:szCs w:val="17"/>
                <w:color w:val="auto"/>
              </w:rPr>
            </w:pPr>
          </w:p>
        </w:tc>
        <w:tc>
          <w:tcPr>
            <w:tcW w:w="1640" w:type="dxa"/>
            <w:vAlign w:val="bottom"/>
          </w:tcPr>
          <w:p>
            <w:pPr>
              <w:jc w:val="right"/>
              <w:ind w:right="23"/>
              <w:spacing w:after="0"/>
              <w:rPr>
                <w:sz w:val="20"/>
                <w:szCs w:val="20"/>
                <w:color w:val="auto"/>
              </w:rPr>
            </w:pPr>
            <w:r>
              <w:rPr>
                <w:rFonts w:ascii="Arial" w:cs="Arial" w:eastAsia="Arial" w:hAnsi="Arial"/>
                <w:sz w:val="15"/>
                <w:szCs w:val="15"/>
                <w:color w:val="auto"/>
              </w:rPr>
              <w:t>5,034</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(760)</w:t>
            </w:r>
          </w:p>
        </w:tc>
        <w:tc>
          <w:tcPr>
            <w:tcW w:w="6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4,274</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2,937</w:t>
            </w:r>
          </w:p>
        </w:tc>
        <w:tc>
          <w:tcPr>
            <w:tcW w:w="6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2,937</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(19,660)</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(10,336)</w:t>
            </w:r>
          </w:p>
        </w:tc>
        <w:tc>
          <w:tcPr>
            <w:tcW w:w="6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(29,996)</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shd w:val="clear" w:color="auto" w:fill="DBDBDB"/>
          </w:tcPr>
          <w:p>
            <w:pPr>
              <w:spacing w:after="0"/>
              <w:rPr>
                <w:sz w:val="18"/>
                <w:szCs w:val="18"/>
                <w:color w:val="auto"/>
              </w:rPr>
            </w:pPr>
          </w:p>
        </w:tc>
        <w:tc>
          <w:tcPr>
            <w:tcW w:w="16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3,093</w:t>
            </w:r>
          </w:p>
        </w:tc>
        <w:tc>
          <w:tcPr>
            <w:tcW w:w="18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(848)</w:t>
            </w:r>
          </w:p>
        </w:tc>
        <w:tc>
          <w:tcPr>
            <w:tcW w:w="6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2,245</w:t>
            </w:r>
          </w:p>
        </w:tc>
        <w:tc>
          <w:tcPr>
            <w:tcW w:w="0" w:type="dxa"/>
            <w:vAlign w:val="bottom"/>
          </w:tcPr>
          <w:p>
            <w:pPr>
              <w:spacing w:after="0"/>
              <w:rPr>
                <w:sz w:val="1"/>
                <w:szCs w:val="1"/>
                <w:color w:val="auto"/>
              </w:rPr>
            </w:pPr>
          </w:p>
        </w:tc>
      </w:tr>
      <w:tr>
        <w:trPr>
          <w:trHeight w:val="205"/>
        </w:trPr>
        <w:tc>
          <w:tcPr>
            <w:tcW w:w="5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2,994</w:t>
            </w: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2,994</w:t>
            </w:r>
          </w:p>
        </w:tc>
        <w:tc>
          <w:tcPr>
            <w:tcW w:w="0" w:type="dxa"/>
            <w:vAlign w:val="bottom"/>
          </w:tcPr>
          <w:p>
            <w:pPr>
              <w:spacing w:after="0"/>
              <w:rPr>
                <w:sz w:val="1"/>
                <w:szCs w:val="1"/>
                <w:color w:val="auto"/>
              </w:rPr>
            </w:pPr>
          </w:p>
        </w:tc>
      </w:tr>
      <w:tr>
        <w:trPr>
          <w:trHeight w:val="200"/>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June 30, 2021</w:t>
            </w:r>
          </w:p>
        </w:tc>
        <w:tc>
          <w:tcPr>
            <w:tcW w:w="180" w:type="dxa"/>
            <w:vAlign w:val="bottom"/>
            <w:shd w:val="clear" w:color="auto" w:fill="DBDBDB"/>
          </w:tcPr>
          <w:p>
            <w:pPr>
              <w:spacing w:after="0"/>
              <w:rPr>
                <w:sz w:val="17"/>
                <w:szCs w:val="17"/>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(16,567)</w:t>
            </w:r>
          </w:p>
        </w:tc>
        <w:tc>
          <w:tcPr>
            <w:tcW w:w="18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(8,190)</w:t>
            </w:r>
          </w:p>
        </w:tc>
        <w:tc>
          <w:tcPr>
            <w:tcW w:w="64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(24,757)</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(11,162)</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(830)</w:t>
            </w:r>
          </w:p>
        </w:tc>
        <w:tc>
          <w:tcPr>
            <w:tcW w:w="6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(11,992)</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3,036</w:t>
            </w:r>
          </w:p>
        </w:tc>
        <w:tc>
          <w:tcPr>
            <w:tcW w:w="6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3,036</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5"/>
                <w:szCs w:val="15"/>
                <w:color w:val="auto"/>
              </w:rPr>
              <w:t>Balance at September 30, 2021</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(5,984)</w:t>
            </w:r>
          </w:p>
        </w:tc>
        <w:tc>
          <w:tcPr>
            <w:tcW w:w="6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(33,713)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the nine months ended September 30, 2022 and 2021, $4.5 million and $ 9.0 million, respectively, was reclassified from AOCI into interest expense in the condensed consolidated statements of operations related to the interest rate swap discussed in Note 16. Associated with these reclassifications, the Company recorded tax expense of $0.7 million for the three months ended September 30, 2021, and $1.1 million and $2.0 million for the nine months ended September 30, 2022 and 2021, respectively. The interest rate swap terminated on May 29, 2022.</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NOTE 12 – Warrants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2015 Warrants</w:t>
      </w:r>
    </w:p>
    <w:p>
      <w:pPr>
        <w:spacing w:after="0" w:line="12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WillScot was incorporated under the name Double Eagle Acquisition Corporation ("DEAC") on June 26, 2015. DEAC issued warrants to purchase its Common Stock in a private placement concurrently with its initial public offering (the “2015 Private Warrants”) each of which entitled the holder to purchase one-half of one share of Common Stock. During the six months ended June 30, 2021, 3,055,000 of the 2015 Private Warrants were repurchased for $25.5 million and cancelled. In addition, during the six months ended June 30, 2021, 9,655,000 warrants were exercised on a cashless basis, resulting in the issuance of 2,939,898 shares of Common Stock. As of June 30, 2021, no 2015 Private Warrants remained outstanding.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i w:val="1"/>
          <w:iCs w:val="1"/>
          <w:color w:val="1D2758"/>
        </w:rPr>
        <w:t>2018 Warrants</w:t>
      </w:r>
    </w:p>
    <w:p>
      <w:pPr>
        <w:spacing w:after="0" w:line="60"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In connection with the Modular Space Holdings acquisition in 2018, WillScot issued warrants to purchase approximately 10.0 million shares of Common Stock (the "2018 Warrants") to former shareholders. Each 2018 Warrant entitles the holder to purchase one share of Common Stock at an exercise price of $15.50 per share, subject to adjustment. The 2018 Warrants expire on November 29, 2022. During the nine months ended September 30, 2022, 33,965 of the 2018 Warrants were repurchased for $0.6 million and cancelled. In addition, during the nine months ended September 30, 2022, 1,037,379 of the 2018 Warrants were exercised on a cashless basis, resulting in the issuance of 631,863 shares of common stock. At September 30, 2022, 3,006,829 of the 2018 Warrants were outstanding.</w:t>
      </w:r>
    </w:p>
    <w:p>
      <w:pPr>
        <w:spacing w:after="0" w:line="2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accounted for its warrants in the following ways: (i) the 2015 Private Warrants as liabilities through their final repurchase or exercise in May 2021, and (ii) the 2018 Warrants as liabilities until June 30, 2020 after which they are accounted for as equity instruments. Warrants classified as liabilities were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13 – Income Taxes</w:t>
      </w:r>
    </w:p>
    <w:p>
      <w:pPr>
        <w:spacing w:after="0" w:line="12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recorded $30.2 million and $67.2 million of income tax expense for the three and nine months ended September 30, 2022, respectively, and $5.2 million and $32.4 million of income tax expense for the three and nine months ended September 30, 2021, respectively. The Company’s effective tax rate for the three and nine months ended September 30, 2022 was 26.1% and 25.1%, respectively. The Company's effective tax rate for the three and nine months ended September 30, 2021 was 8.4% and 30.1%, respectively.</w:t>
      </w:r>
    </w:p>
    <w:p>
      <w:pPr>
        <w:spacing w:after="0" w:line="2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effective tax rate for the three and nine months ended September 30, 2022 differed from the US federal statutory rate of 21% primarily due to state and provincial taxes offset by a discrete tax benefit related to employee stock vesting. The effective tax rate for the three months ended September 30, 2021 differs from the U.S federal statutory rate of 21% primarily due to the reversal of approximately of $12.8 million in reserves for uncertain tax positions ("UTP") due to the expiration of relevant statutes of limitation. The effective tax rate for the nine months ended September 30, 2021 differs from the US federal statutory rate of 21% primarily due to the permanent add-backs related to fair value accounting on the Company's warrants and executive compensation with an offset related to the discrete tax benefit from the reversal of reserves for UTP.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1D2758"/>
        </w:rPr>
        <w:t>NOTE 14 - Fair Value Measures</w:t>
      </w:r>
    </w:p>
    <w:p>
      <w:pPr>
        <w:spacing w:after="0" w:line="12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utilizes the suggested accounting guidance for the three levels of inputs that may be used to measure fair value:</w:t>
      </w:r>
    </w:p>
    <w:p>
      <w:pPr>
        <w:spacing w:after="0" w:line="9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21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values of finance leases at September 30, 2022 approximate their respective book values.</w:t>
      </w:r>
    </w:p>
    <w:p>
      <w:pPr>
        <w:spacing w:after="0" w:line="1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shows the carrying amounts and fair values of financial liabilities which are disclosed, but not measured, at fair value, including their levels in the fair values hierarchy: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September 30, 2022</w:t>
            </w:r>
          </w:p>
        </w:tc>
        <w:tc>
          <w:tcPr>
            <w:tcW w:w="24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2021</w:t>
            </w:r>
          </w:p>
        </w:tc>
        <w:tc>
          <w:tcPr>
            <w:tcW w:w="24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7"/>
                <w:szCs w:val="7"/>
                <w:color w:val="auto"/>
              </w:rPr>
            </w:pP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6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112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8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96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rPr>
                <w:sz w:val="1"/>
                <w:szCs w:val="1"/>
                <w:color w:val="auto"/>
              </w:rPr>
            </w:pPr>
          </w:p>
        </w:tc>
      </w:tr>
      <w:tr>
        <w:trPr>
          <w:trHeight w:val="214"/>
        </w:trPr>
        <w:tc>
          <w:tcPr>
            <w:tcW w:w="192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92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2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ABL Facility</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1,863,451</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1,897,000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1,612,783</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1,644,500</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1920" w:type="dxa"/>
            <w:vAlign w:val="bottom"/>
          </w:tcPr>
          <w:p>
            <w:pPr>
              <w:ind w:left="20"/>
              <w:spacing w:after="0"/>
              <w:rPr>
                <w:sz w:val="20"/>
                <w:szCs w:val="20"/>
                <w:color w:val="auto"/>
              </w:rPr>
            </w:pPr>
            <w:r>
              <w:rPr>
                <w:rFonts w:ascii="Arial" w:cs="Arial" w:eastAsia="Arial" w:hAnsi="Arial"/>
                <w:sz w:val="15"/>
                <w:szCs w:val="15"/>
                <w:color w:val="auto"/>
              </w:rPr>
              <w:t>2025 Secured Notes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519,778</w:t>
            </w:r>
          </w:p>
        </w:tc>
        <w:tc>
          <w:tcPr>
            <w:tcW w:w="240" w:type="dxa"/>
            <w:vAlign w:val="bottom"/>
          </w:tcPr>
          <w:p>
            <w:pPr>
              <w:spacing w:after="0"/>
              <w:rPr>
                <w:sz w:val="17"/>
                <w:szCs w:val="17"/>
                <w:color w:val="auto"/>
              </w:rPr>
            </w:pPr>
          </w:p>
        </w:tc>
        <w:tc>
          <w:tcPr>
            <w:tcW w:w="110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513,932</w:t>
            </w:r>
          </w:p>
        </w:tc>
        <w:tc>
          <w:tcPr>
            <w:tcW w:w="240" w:type="dxa"/>
            <w:vAlign w:val="bottom"/>
          </w:tcPr>
          <w:p>
            <w:pPr>
              <w:spacing w:after="0"/>
              <w:rPr>
                <w:sz w:val="17"/>
                <w:szCs w:val="17"/>
                <w:color w:val="auto"/>
              </w:rPr>
            </w:pPr>
          </w:p>
        </w:tc>
        <w:tc>
          <w:tcPr>
            <w:tcW w:w="1120" w:type="dxa"/>
            <w:vAlign w:val="bottom"/>
          </w:tcPr>
          <w:p>
            <w:pPr>
              <w:ind w:left="7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518,117</w:t>
            </w:r>
          </w:p>
        </w:tc>
        <w:tc>
          <w:tcPr>
            <w:tcW w:w="240" w:type="dxa"/>
            <w:vAlign w:val="bottom"/>
          </w:tcPr>
          <w:p>
            <w:pPr>
              <w:spacing w:after="0"/>
              <w:rPr>
                <w:sz w:val="17"/>
                <w:szCs w:val="17"/>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551,835</w:t>
            </w:r>
          </w:p>
        </w:tc>
        <w:tc>
          <w:tcPr>
            <w:tcW w:w="24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493,220</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435,320</w:t>
            </w:r>
          </w:p>
        </w:tc>
        <w:tc>
          <w:tcPr>
            <w:tcW w:w="2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492,490</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515,635</w:t>
            </w:r>
          </w:p>
        </w:tc>
        <w:tc>
          <w:tcPr>
            <w:tcW w:w="24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2,876,449</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2,846,252</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2,623,390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2,711,970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As of September 30, 2022, the carrying values of the ABL Facility, the 2025 Secured Notes, and the 2028 Secured Notes included $33.6 million, $6.7 million, and $6.8 million, respectively, of unamortized debt issuance costs, which were presented as a direct reduction of the corresponding liability. As of December 31, 2021, the carrying value of the ABL Facility,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1" w:name="page22"/>
    <w:bookmarkEnd w:id="21"/>
    <w:p>
      <w:pPr>
        <w:jc w:val="both"/>
        <w:spacing w:after="0" w:line="294" w:lineRule="auto"/>
        <w:rPr>
          <w:sz w:val="20"/>
          <w:szCs w:val="20"/>
          <w:color w:val="auto"/>
        </w:rPr>
      </w:pPr>
      <w:r>
        <w:rPr>
          <w:rFonts w:ascii="Arial" w:cs="Arial" w:eastAsia="Arial" w:hAnsi="Arial"/>
          <w:sz w:val="15"/>
          <w:szCs w:val="15"/>
          <w:color w:val="auto"/>
        </w:rPr>
        <w:t>the 2025 Secured Notes, and the 2028 Secured Notes included $31.7 million, $8.4 million, and $7.5 million, respectively, of unamortized debt issuance costs, which were presented as a direct reduction of the corresponding liability.</w:t>
      </w:r>
    </w:p>
    <w:p>
      <w:pPr>
        <w:spacing w:after="0" w:line="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carrying value of the ABL Facility, excluding debt issuance costs, approximates fair value as the interest rates are variable and reflective of current market rates. The fair value of the 2025 Secured Notes and the 2028 Secured Notes is based on their last trading price at the end of each period obtained from a third party. The classification and the fair value of derivative assets and liabilities designated as hedges in the condensed consolidated balance sheets are disclosed in Note 16.</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Level 3 Disclosures</w:t>
      </w:r>
    </w:p>
    <w:p>
      <w:pPr>
        <w:spacing w:after="0" w:line="7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During the periods the 2015 Private Warrants were classified as liabilities, the Company utilized a Black Scholes option-pricing model to value the warrants at each reporting period and transaction date, with changes in fair value recognized in the statements of operations. The estimated fair value of the common stock warrant liability was determined using Level 3 inputs. Inherent in the pricing model were assumptions related to expected share-price volatility, expected life, risk-free interest rate and dividend yield. The volatility assumption was based on a blend of peer group volatility and Company trading history that matched the expected remaining life of the warrants as the Company did not have a sufficient trading history as a stand-alone public company to rely exclusively on its own trading history. The risk-free interest rate was based on the US Treasury zero-coupon yield curve on the grant date for a maturity similar to the expected remaining life of the warrants. The expected life of the warrants was assumed to be equivalent to their remaining contractual term. The dividend rate was based on the historical rate, which the Company anticipated to remain at zero.</w:t>
      </w:r>
    </w:p>
    <w:p>
      <w:pPr>
        <w:spacing w:after="0" w:line="2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changes in Level 3 liabilities measured at fair value for the nine months ended September 30,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1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2015 Private Warrants</w:t>
            </w:r>
          </w:p>
        </w:tc>
      </w:tr>
      <w:tr>
        <w:trPr>
          <w:trHeight w:val="206"/>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 December 31, 2020</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77,404</w:t>
            </w:r>
          </w:p>
        </w:tc>
      </w:tr>
      <w:tr>
        <w:trPr>
          <w:trHeight w:val="205"/>
        </w:trPr>
        <w:tc>
          <w:tcPr>
            <w:tcW w:w="8800" w:type="dxa"/>
            <w:vAlign w:val="bottom"/>
          </w:tcPr>
          <w:p>
            <w:pPr>
              <w:ind w:left="20"/>
              <w:spacing w:after="0"/>
              <w:rPr>
                <w:sz w:val="20"/>
                <w:szCs w:val="20"/>
                <w:color w:val="auto"/>
              </w:rPr>
            </w:pPr>
            <w:r>
              <w:rPr>
                <w:rFonts w:ascii="Arial" w:cs="Arial" w:eastAsia="Arial" w:hAnsi="Arial"/>
                <w:sz w:val="15"/>
                <w:szCs w:val="15"/>
                <w:color w:val="auto"/>
              </w:rPr>
              <w:t>Exercise or conversion</w:t>
            </w:r>
          </w:p>
        </w:tc>
        <w:tc>
          <w:tcPr>
            <w:tcW w:w="2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5"/>
                <w:szCs w:val="15"/>
                <w:color w:val="auto"/>
              </w:rPr>
              <w:t>(78,495)</w:t>
            </w:r>
          </w:p>
        </w:tc>
      </w:tr>
      <w:tr>
        <w:trPr>
          <w:trHeight w:val="207"/>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Measurement adjustment</w:t>
            </w:r>
          </w:p>
        </w:tc>
        <w:tc>
          <w:tcPr>
            <w:tcW w:w="260" w:type="dxa"/>
            <w:vAlign w:val="bottom"/>
            <w:shd w:val="clear" w:color="auto" w:fill="DBDBDB"/>
          </w:tcPr>
          <w:p>
            <w:pPr>
              <w:spacing w:after="0"/>
              <w:rPr>
                <w:sz w:val="18"/>
                <w:szCs w:val="18"/>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25,486</w:t>
            </w:r>
          </w:p>
        </w:tc>
      </w:tr>
      <w:tr>
        <w:trPr>
          <w:trHeight w:val="205"/>
        </w:trPr>
        <w:tc>
          <w:tcPr>
            <w:tcW w:w="88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Repurchases</w:t>
            </w: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(24,395)</w:t>
            </w:r>
          </w:p>
        </w:tc>
      </w:tr>
      <w:tr>
        <w:trPr>
          <w:trHeight w:val="224"/>
        </w:trPr>
        <w:tc>
          <w:tcPr>
            <w:tcW w:w="8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September 30, 2021</w:t>
            </w: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8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18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15 - Stock-Based Compensation</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 grants of restricted stock awards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Weighted-Average</w:t>
            </w:r>
          </w:p>
        </w:tc>
        <w:tc>
          <w:tcPr>
            <w:tcW w:w="20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020" w:type="dxa"/>
            <w:vAlign w:val="bottom"/>
            <w:shd w:val="clear" w:color="auto" w:fill="1D2758"/>
          </w:tcPr>
          <w:p>
            <w:pPr>
              <w:spacing w:after="0"/>
              <w:rPr>
                <w:sz w:val="13"/>
                <w:szCs w:val="13"/>
                <w:color w:val="auto"/>
              </w:rPr>
            </w:pPr>
          </w:p>
        </w:tc>
        <w:tc>
          <w:tcPr>
            <w:tcW w:w="178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Number of Shares</w:t>
            </w:r>
          </w:p>
        </w:tc>
        <w:tc>
          <w:tcPr>
            <w:tcW w:w="1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1860" w:type="dxa"/>
            <w:vAlign w:val="bottom"/>
            <w:vMerge w:val="restart"/>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1D2758"/>
          </w:tcPr>
          <w:p>
            <w:pPr>
              <w:spacing w:after="0"/>
              <w:rPr>
                <w:sz w:val="17"/>
                <w:szCs w:val="17"/>
                <w:color w:val="auto"/>
              </w:rPr>
            </w:pPr>
          </w:p>
        </w:tc>
        <w:tc>
          <w:tcPr>
            <w:tcW w:w="1780" w:type="dxa"/>
            <w:vAlign w:val="bottom"/>
            <w:vMerge w:val="continue"/>
            <w:shd w:val="clear" w:color="auto" w:fill="1D2758"/>
          </w:tcPr>
          <w:p>
            <w:pPr>
              <w:spacing w:after="0"/>
              <w:rPr>
                <w:sz w:val="17"/>
                <w:szCs w:val="17"/>
                <w:color w:val="auto"/>
              </w:rPr>
            </w:pPr>
          </w:p>
        </w:tc>
        <w:tc>
          <w:tcPr>
            <w:tcW w:w="16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1860" w:type="dxa"/>
            <w:vAlign w:val="bottom"/>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w:t>
            </w:r>
          </w:p>
        </w:tc>
        <w:tc>
          <w:tcPr>
            <w:tcW w:w="17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36,176</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18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57,448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05"/>
        </w:trPr>
        <w:tc>
          <w:tcPr>
            <w:tcW w:w="40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80" w:type="dxa"/>
            <w:vAlign w:val="bottom"/>
          </w:tcPr>
          <w:p>
            <w:pPr>
              <w:jc w:val="right"/>
              <w:ind w:right="83"/>
              <w:spacing w:after="0"/>
              <w:rPr>
                <w:sz w:val="20"/>
                <w:szCs w:val="20"/>
                <w:color w:val="auto"/>
              </w:rPr>
            </w:pPr>
            <w:r>
              <w:rPr>
                <w:rFonts w:ascii="Arial" w:cs="Arial" w:eastAsia="Arial" w:hAnsi="Arial"/>
                <w:sz w:val="15"/>
                <w:szCs w:val="15"/>
                <w:color w:val="auto"/>
              </w:rPr>
              <w:t>35,244</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37.17</w:t>
            </w:r>
          </w:p>
        </w:tc>
        <w:tc>
          <w:tcPr>
            <w:tcW w:w="1860" w:type="dxa"/>
            <w:vAlign w:val="bottom"/>
          </w:tcPr>
          <w:p>
            <w:pPr>
              <w:jc w:val="right"/>
              <w:ind w:right="83"/>
              <w:spacing w:after="0"/>
              <w:rPr>
                <w:sz w:val="20"/>
                <w:szCs w:val="20"/>
                <w:color w:val="auto"/>
              </w:rPr>
            </w:pPr>
            <w:r>
              <w:rPr>
                <w:rFonts w:ascii="Arial" w:cs="Arial" w:eastAsia="Arial" w:hAnsi="Arial"/>
                <w:sz w:val="15"/>
                <w:szCs w:val="15"/>
                <w:color w:val="auto"/>
              </w:rPr>
              <w:t>44,708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7"/>
        </w:trPr>
        <w:tc>
          <w:tcPr>
            <w:tcW w:w="40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(8,532)</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5"/>
        </w:trPr>
        <w:tc>
          <w:tcPr>
            <w:tcW w:w="40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(36,176)</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29.30</w:t>
            </w:r>
          </w:p>
        </w:tc>
        <w:tc>
          <w:tcPr>
            <w:tcW w:w="1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(57,448)</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DBDBDB"/>
            </w:tcBorders>
          </w:tcPr>
          <w:p>
            <w:pPr>
              <w:jc w:val="right"/>
              <w:ind w:right="3"/>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September 30,</w:t>
            </w:r>
          </w:p>
        </w:tc>
        <w:tc>
          <w:tcPr>
            <w:tcW w:w="178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rPr>
              <w:t>35,244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18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rPr>
              <w:t>36,176</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DBDBDB"/>
            </w:tcBorders>
            <w:shd w:val="clear" w:color="auto" w:fill="DBDBDB"/>
          </w:tcPr>
          <w:p>
            <w:pPr>
              <w:jc w:val="right"/>
              <w:ind w:right="3"/>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
        </w:trPr>
        <w:tc>
          <w:tcPr>
            <w:tcW w:w="4020" w:type="dxa"/>
            <w:vAlign w:val="bottom"/>
            <w:tcBorders>
              <w:top w:val="single" w:sz="8" w:color="DBDBDB"/>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Compensation expense for RSAs recognized in SG&amp;A expense on the condensed consolidated statements of operations was $0.3 million for both the three months ended September 30, 2022 and 2021. Compensation expense for RSAs recognized in SG&amp;A expense on the condensed consolidated statements of operations was $0.9 million and $0.6 million for the nine months ended September 30, 2022 and 2021, respectively. At September 30, 2022, there was $0.9 million of unrecognized compensation cost related to RSAs that is expected to be recognized over the remaining weighted average vesting period of 0.7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Time-Based RSUs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gridSpan w:val="2"/>
          </w:tcPr>
          <w:p>
            <w:pPr>
              <w:jc w:val="right"/>
              <w:ind w:right="163"/>
              <w:spacing w:after="0"/>
              <w:rPr>
                <w:sz w:val="20"/>
                <w:szCs w:val="20"/>
                <w:color w:val="auto"/>
              </w:rPr>
            </w:pPr>
            <w:r>
              <w:rPr>
                <w:rFonts w:ascii="Arial" w:cs="Arial" w:eastAsia="Arial" w:hAnsi="Arial"/>
                <w:sz w:val="15"/>
                <w:szCs w:val="15"/>
                <w:color w:val="auto"/>
              </w:rPr>
              <w:t>The following table summarizes the Company's Time-Based RSU activity:</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92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940" w:type="dxa"/>
            <w:vAlign w:val="bottom"/>
            <w:gridSpan w:val="2"/>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620" w:type="dxa"/>
            <w:vAlign w:val="bottom"/>
            <w:vMerge w:val="restart"/>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Weighted-Average</w:t>
            </w:r>
          </w:p>
        </w:tc>
        <w:tc>
          <w:tcPr>
            <w:tcW w:w="19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620" w:type="dxa"/>
            <w:vAlign w:val="bottom"/>
            <w:vMerge w:val="continue"/>
            <w:shd w:val="clear" w:color="auto" w:fill="1D2758"/>
          </w:tcPr>
          <w:p>
            <w:pPr>
              <w:spacing w:after="0"/>
              <w:rPr>
                <w:sz w:val="13"/>
                <w:szCs w:val="13"/>
                <w:color w:val="auto"/>
              </w:rPr>
            </w:pP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860" w:type="dxa"/>
            <w:vAlign w:val="bottom"/>
            <w:gridSpan w:val="2"/>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Grant Date Fair Value</w:t>
            </w: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997,451</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18.54</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1,325,862</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13.46</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377,804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83"/>
              <w:spacing w:after="0"/>
              <w:rPr>
                <w:sz w:val="20"/>
                <w:szCs w:val="20"/>
                <w:color w:val="auto"/>
              </w:rPr>
            </w:pPr>
            <w:r>
              <w:rPr>
                <w:rFonts w:ascii="Arial" w:cs="Arial" w:eastAsia="Arial" w:hAnsi="Arial"/>
                <w:sz w:val="15"/>
                <w:szCs w:val="15"/>
                <w:color w:val="auto"/>
              </w:rPr>
              <w:t>35.40</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415,737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27.25</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(94,841)</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31.08</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(65,153)</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16.74</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(478,906)</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DDDDD"/>
            </w:tcBorders>
          </w:tcPr>
          <w:p>
            <w:pPr>
              <w:jc w:val="right"/>
              <w:ind w:right="83"/>
              <w:spacing w:after="0"/>
              <w:rPr>
                <w:sz w:val="20"/>
                <w:szCs w:val="20"/>
                <w:color w:val="auto"/>
              </w:rPr>
            </w:pPr>
            <w:r>
              <w:rPr>
                <w:rFonts w:ascii="Arial" w:cs="Arial" w:eastAsia="Arial" w:hAnsi="Arial"/>
                <w:sz w:val="15"/>
                <w:szCs w:val="15"/>
                <w:color w:val="auto"/>
              </w:rPr>
              <w:t>16.42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(667,151)</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13.98</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September 30,</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801,508</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26.27</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1,009,295</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18.59</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62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Compensation expense for Time-Based RSUs recognized in SG&amp;A expense on the condensed consolidated statements of operations was $1.7 million and $3.2 million for the three months ended September 30, 2022 and 2021, respectively. Compensation expense for RSUs recognized in SG&amp;A expense on the condensed consolidated statements of operations was $6.4 million and $7.5 million for the nine months ended September 30, 2022 and 2021, respectively.</w:t>
      </w:r>
    </w:p>
    <w:p>
      <w:pPr>
        <w:jc w:val="both"/>
        <w:spacing w:after="0" w:line="312" w:lineRule="auto"/>
        <w:rPr>
          <w:sz w:val="20"/>
          <w:szCs w:val="20"/>
          <w:color w:val="auto"/>
        </w:rPr>
      </w:pPr>
      <w:r>
        <w:rPr>
          <w:rFonts w:ascii="Arial" w:cs="Arial" w:eastAsia="Arial" w:hAnsi="Arial"/>
          <w:sz w:val="15"/>
          <w:szCs w:val="15"/>
          <w:color w:val="auto"/>
        </w:rPr>
        <w:t>At September 30, 2022, unrecognized compensation cost related to Time-Based RSUs totaled $15.9 million and is expected to be recognized over the remaining weighted average vesting period of 2.4 years.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620" w:type="dxa"/>
            <w:vAlign w:val="bottom"/>
            <w:vMerge w:val="restart"/>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Weighted-Average</w:t>
            </w:r>
          </w:p>
        </w:tc>
        <w:tc>
          <w:tcPr>
            <w:tcW w:w="19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620" w:type="dxa"/>
            <w:vAlign w:val="bottom"/>
            <w:vMerge w:val="continue"/>
            <w:shd w:val="clear" w:color="auto" w:fill="1D2758"/>
          </w:tcPr>
          <w:p>
            <w:pPr>
              <w:spacing w:after="0"/>
              <w:rPr>
                <w:sz w:val="13"/>
                <w:szCs w:val="13"/>
                <w:color w:val="auto"/>
              </w:rPr>
            </w:pP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860" w:type="dxa"/>
            <w:vAlign w:val="bottom"/>
            <w:gridSpan w:val="2"/>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Grant Date Fair Value</w:t>
            </w: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1,536,394</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26.34</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593,388</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14.88</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745,079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83"/>
              <w:spacing w:after="0"/>
              <w:rPr>
                <w:sz w:val="20"/>
                <w:szCs w:val="20"/>
                <w:color w:val="auto"/>
              </w:rPr>
            </w:pPr>
            <w:r>
              <w:rPr>
                <w:rFonts w:ascii="Arial" w:cs="Arial" w:eastAsia="Arial" w:hAnsi="Arial"/>
                <w:sz w:val="15"/>
                <w:szCs w:val="15"/>
                <w:color w:val="auto"/>
              </w:rPr>
              <w:t>42.34</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977,645</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33.21</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(61,678)</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41.62</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(20,077)</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25.87</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(313,152)</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DDDDD"/>
            </w:tcBorders>
          </w:tcPr>
          <w:p>
            <w:pPr>
              <w:jc w:val="right"/>
              <w:ind w:right="83"/>
              <w:spacing w:after="0"/>
              <w:rPr>
                <w:sz w:val="20"/>
                <w:szCs w:val="20"/>
                <w:color w:val="auto"/>
              </w:rPr>
            </w:pPr>
            <w:r>
              <w:rPr>
                <w:rFonts w:ascii="Arial" w:cs="Arial" w:eastAsia="Arial" w:hAnsi="Arial"/>
                <w:sz w:val="15"/>
                <w:szCs w:val="15"/>
                <w:color w:val="auto"/>
              </w:rPr>
              <w:t>16.45</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September 30,</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1,906,643</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33.72</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1,550,956</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26.29</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62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Compensation expense for Performance-Based RSUs recognized in SG&amp;A expense on the condensed consolidated statements of operations was $4.9 million and $2.7 million for the three months ended September 30, 2022 and 2021, respectively. Compensation expense for Performance-Based RSUs recognized in SG&amp;A expense on the condensed consolidated statements of operations was $15.2 million and $5.8 million for the nine months ended September 30, 2022 and 2021, respectively. At September 30, 2022, unrecognized compensation cost related to Performance-Based RSUs totaled $41.4 million and is expected to be recognized over the remaining vesting period of 2.3 years.</w:t>
      </w:r>
    </w:p>
    <w:p>
      <w:pPr>
        <w:spacing w:after="0" w:line="2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an index at the grant date over the performance period of three years. For 2022 grants, the TSR of the Company's Common Stock is compared to the TSR of the constituents in the S&amp;P MidCap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Stock Options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summarize the Company's stock option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Converted</w:t>
            </w:r>
          </w:p>
        </w:tc>
        <w:tc>
          <w:tcPr>
            <w:tcW w:w="22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220" w:type="dxa"/>
            <w:vAlign w:val="bottom"/>
            <w:shd w:val="clear" w:color="auto" w:fill="1D2758"/>
          </w:tcPr>
          <w:p>
            <w:pPr>
              <w:spacing w:after="0"/>
              <w:rPr>
                <w:sz w:val="13"/>
                <w:szCs w:val="13"/>
                <w:color w:val="auto"/>
              </w:rPr>
            </w:pPr>
          </w:p>
        </w:tc>
        <w:tc>
          <w:tcPr>
            <w:tcW w:w="164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Share</w:t>
            </w:r>
          </w:p>
        </w:tc>
        <w:tc>
          <w:tcPr>
            <w:tcW w:w="17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Mobile Mini Options</w:t>
            </w:r>
          </w:p>
        </w:tc>
        <w:tc>
          <w:tcPr>
            <w:tcW w:w="22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2021</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1,527,643</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DDDDD"/>
            </w:tcBorders>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(635,318)</w:t>
            </w:r>
          </w:p>
        </w:tc>
        <w:tc>
          <w:tcPr>
            <w:tcW w:w="22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17.02</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September 30, 2022</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892,325</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12.97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64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64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5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September 30, 2022</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892,325</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12.97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64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164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Weighted-Average</w:t>
            </w:r>
          </w:p>
        </w:tc>
        <w:tc>
          <w:tcPr>
            <w:tcW w:w="17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Converted Mobile Mini</w:t>
            </w:r>
          </w:p>
        </w:tc>
        <w:tc>
          <w:tcPr>
            <w:tcW w:w="2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220" w:type="dxa"/>
            <w:vAlign w:val="bottom"/>
            <w:shd w:val="clear" w:color="auto" w:fill="1D2758"/>
          </w:tcPr>
          <w:p>
            <w:pPr>
              <w:spacing w:after="0"/>
              <w:rPr>
                <w:sz w:val="13"/>
                <w:szCs w:val="13"/>
                <w:color w:val="auto"/>
              </w:rPr>
            </w:pPr>
          </w:p>
        </w:tc>
        <w:tc>
          <w:tcPr>
            <w:tcW w:w="164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Share</w:t>
            </w:r>
          </w:p>
        </w:tc>
        <w:tc>
          <w:tcPr>
            <w:tcW w:w="17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Options</w:t>
            </w:r>
          </w:p>
        </w:tc>
        <w:tc>
          <w:tcPr>
            <w:tcW w:w="22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2020</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2,031,455</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14.78</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(6,240)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12.19</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(484,986)</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15.26</w:t>
            </w: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Arial" w:cs="Arial" w:eastAsia="Arial" w:hAnsi="Arial"/>
                <w:sz w:val="15"/>
                <w:szCs w:val="15"/>
                <w:color w:val="auto"/>
              </w:rPr>
              <w:t>Balance September 30, 2021</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1,540,229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20"/>
        </w:trPr>
        <w:tc>
          <w:tcPr>
            <w:tcW w:w="4220" w:type="dxa"/>
            <w:vAlign w:val="bottom"/>
            <w:tcBorders>
              <w:bottom w:val="single" w:sz="8" w:color="DDDDDD"/>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DDDDD"/>
            </w:tcBorders>
          </w:tcPr>
          <w:p>
            <w:pPr>
              <w:spacing w:after="0" w:line="20" w:lineRule="exact"/>
              <w:rPr>
                <w:sz w:val="1"/>
                <w:szCs w:val="1"/>
                <w:color w:val="auto"/>
              </w:rPr>
            </w:pPr>
          </w:p>
        </w:tc>
        <w:tc>
          <w:tcPr>
            <w:tcW w:w="164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DDDDD"/>
            </w:tcBorders>
          </w:tcPr>
          <w:p>
            <w:pPr>
              <w:spacing w:after="0" w:line="20" w:lineRule="exact"/>
              <w:rPr>
                <w:sz w:val="1"/>
                <w:szCs w:val="1"/>
                <w:color w:val="auto"/>
              </w:rPr>
            </w:pPr>
          </w:p>
        </w:tc>
        <w:tc>
          <w:tcPr>
            <w:tcW w:w="1560" w:type="dxa"/>
            <w:vAlign w:val="bottom"/>
            <w:tcBorders>
              <w:bottom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DDDDDD"/>
          </w:tcPr>
          <w:p>
            <w:pPr>
              <w:spacing w:after="0"/>
              <w:rPr>
                <w:sz w:val="18"/>
                <w:szCs w:val="18"/>
                <w:color w:val="auto"/>
              </w:rPr>
            </w:pPr>
          </w:p>
        </w:tc>
        <w:tc>
          <w:tcPr>
            <w:tcW w:w="1680" w:type="dxa"/>
            <w:vAlign w:val="bottom"/>
            <w:tcBorders>
              <w:bottom w:val="single" w:sz="8" w:color="auto"/>
            </w:tcBorders>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64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5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Arial" w:cs="Arial" w:eastAsia="Arial" w:hAnsi="Arial"/>
                <w:sz w:val="15"/>
                <w:szCs w:val="15"/>
                <w:color w:val="auto"/>
              </w:rPr>
              <w:t>Fully vested and exercisable options, September 30, 2021</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400,641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1,540,229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14.65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WillScot Options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stock option awards, recognized in SG&amp;A expense on the condensed consolidated statements of operations, was $0.2 million for the three months ended September 30, 2021. Compensation expense for stock option awards, recognized in SG&amp;A expense on the condensed consolidated statements of operations, was $0.2 million and $0.6 million for the nine months ended September 30, 2022 and 2021,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1D2758"/>
        </w:rPr>
        <w:t>NOTE 16 - Derivatives</w:t>
      </w:r>
    </w:p>
    <w:p>
      <w:pPr>
        <w:spacing w:after="0" w:line="12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2018, the Company entered into an interest rate swap agreement (the “Swap Agreement”) with a financial counterparty that effectively converted $400.0 million in aggregate notional amount of variable-rate debt under the Company’s ABL facility into fixed-rate debt. The Swap Agreement terminated on May 29, 2022. Under the terms of the Swap Agreement, the Company received a floating rate equal to one-month LIBOR and made payments based on a fixed rate of 3.06% on the notional amount. The receive rate under the terms of the Swap Agreement was 0.11% at December 31, 2021. The Swap Agreement was designated and qualified as a hedge of the Company’s exposure to changes in interest payment cash flows created by fluctuations in variable interest rates on the ABL facility.</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at the balance sheet date,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80" w:type="dxa"/>
            <w:vAlign w:val="bottom"/>
            <w:shd w:val="clear" w:color="auto" w:fill="1D2758"/>
          </w:tcPr>
          <w:p>
            <w:pPr>
              <w:ind w:left="2800"/>
              <w:spacing w:after="0"/>
              <w:rPr>
                <w:sz w:val="20"/>
                <w:szCs w:val="20"/>
                <w:color w:val="auto"/>
              </w:rPr>
            </w:pPr>
            <w:r>
              <w:rPr>
                <w:rFonts w:ascii="Arial" w:cs="Arial" w:eastAsia="Arial" w:hAnsi="Arial"/>
                <w:sz w:val="15"/>
                <w:szCs w:val="15"/>
                <w:b w:val="1"/>
                <w:bCs w:val="1"/>
                <w:color w:val="FFFFFF"/>
              </w:rPr>
              <w:t>Balance Sheet Account</w:t>
            </w:r>
          </w:p>
        </w:tc>
        <w:tc>
          <w:tcPr>
            <w:tcW w:w="680" w:type="dxa"/>
            <w:vAlign w:val="bottom"/>
            <w:shd w:val="clear" w:color="auto" w:fill="1D2758"/>
          </w:tcPr>
          <w:p>
            <w:pPr>
              <w:spacing w:after="0"/>
              <w:rPr>
                <w:sz w:val="17"/>
                <w:szCs w:val="17"/>
                <w:color w:val="auto"/>
              </w:rPr>
            </w:pPr>
          </w:p>
        </w:tc>
        <w:tc>
          <w:tcPr>
            <w:tcW w:w="21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3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w:t>
            </w:r>
          </w:p>
        </w:tc>
        <w:tc>
          <w:tcPr>
            <w:tcW w:w="4880" w:type="dxa"/>
            <w:vAlign w:val="bottom"/>
            <w:shd w:val="clear" w:color="auto" w:fill="DBDBDB"/>
          </w:tcPr>
          <w:p>
            <w:pPr>
              <w:ind w:left="2080"/>
              <w:spacing w:after="0"/>
              <w:rPr>
                <w:sz w:val="20"/>
                <w:szCs w:val="20"/>
                <w:color w:val="auto"/>
              </w:rPr>
            </w:pPr>
            <w:r>
              <w:rPr>
                <w:rFonts w:ascii="Arial" w:cs="Arial" w:eastAsia="Arial" w:hAnsi="Arial"/>
                <w:sz w:val="15"/>
                <w:szCs w:val="15"/>
                <w:color w:val="auto"/>
              </w:rPr>
              <w:t>Accrued expenses</w:t>
            </w:r>
          </w:p>
        </w:tc>
        <w:tc>
          <w:tcPr>
            <w:tcW w:w="6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5,259</w:t>
            </w: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the interest rate swap was based on dealer quotes of market forward rates, a Level 2 input on the fair value hierarchy, and reflected the amount that the Company would receive or pay for contracts involving the same attributes and maturity dates.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4" w:name="page25"/>
    <w:bookmarkEnd w:id="24"/>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interest rate swap, excluding the impact of income taxes, on other comprehensive income (“OCI”), AOCI and the Company’s combined consolidated statements of operations for the nine months ended September 30,: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2022</w:t>
            </w:r>
          </w:p>
        </w:tc>
        <w:tc>
          <w:tcPr>
            <w:tcW w:w="56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16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5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recognized in OCI</w:t>
            </w:r>
          </w:p>
        </w:tc>
        <w:tc>
          <w:tcPr>
            <w:tcW w:w="3040" w:type="dxa"/>
            <w:vAlign w:val="bottom"/>
            <w:shd w:val="clear" w:color="auto" w:fill="DBDBDB"/>
          </w:tcPr>
          <w:p>
            <w:pPr>
              <w:jc w:val="right"/>
              <w:ind w:right="1783"/>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4,669</w:t>
            </w:r>
          </w:p>
        </w:tc>
        <w:tc>
          <w:tcPr>
            <w:tcW w:w="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8,528</w:t>
            </w: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Location of gain recognized in income</w:t>
            </w:r>
          </w:p>
        </w:tc>
        <w:tc>
          <w:tcPr>
            <w:tcW w:w="3040" w:type="dxa"/>
            <w:vAlign w:val="bottom"/>
          </w:tcPr>
          <w:p>
            <w:pPr>
              <w:jc w:val="right"/>
              <w:spacing w:after="0"/>
              <w:rPr>
                <w:sz w:val="20"/>
                <w:szCs w:val="20"/>
                <w:color w:val="auto"/>
              </w:rPr>
            </w:pPr>
            <w:r>
              <w:rPr>
                <w:rFonts w:ascii="Arial" w:cs="Arial" w:eastAsia="Arial" w:hAnsi="Arial"/>
                <w:sz w:val="15"/>
                <w:szCs w:val="15"/>
                <w:color w:val="auto"/>
              </w:rPr>
              <w:t>Interest expense, net</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Pr>
          <w:p>
            <w:pPr>
              <w:jc w:val="center"/>
              <w:ind w:right="243"/>
              <w:spacing w:after="0"/>
              <w:rPr>
                <w:sz w:val="20"/>
                <w:szCs w:val="20"/>
                <w:color w:val="auto"/>
              </w:rPr>
            </w:pPr>
            <w:r>
              <w:rPr>
                <w:rFonts w:ascii="Arial" w:cs="Arial" w:eastAsia="Arial" w:hAnsi="Arial"/>
                <w:sz w:val="15"/>
                <w:szCs w:val="15"/>
                <w:color w:val="auto"/>
              </w:rPr>
              <w:t>Interest expense, net</w:t>
            </w:r>
          </w:p>
        </w:tc>
      </w:tr>
      <w:tr>
        <w:trPr>
          <w:trHeight w:val="207"/>
        </w:trPr>
        <w:tc>
          <w:tcPr>
            <w:tcW w:w="5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reclassified from AOCI into income (effective portion)</w:t>
            </w:r>
          </w:p>
        </w:tc>
        <w:tc>
          <w:tcPr>
            <w:tcW w:w="3040" w:type="dxa"/>
            <w:vAlign w:val="bottom"/>
            <w:shd w:val="clear" w:color="auto" w:fill="DBDBDB"/>
          </w:tcPr>
          <w:p>
            <w:pPr>
              <w:jc w:val="right"/>
              <w:ind w:right="1783"/>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(4,530)</w:t>
            </w:r>
          </w:p>
        </w:tc>
        <w:tc>
          <w:tcPr>
            <w:tcW w:w="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(8,967)</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NOTE 17 - Commitments and Contingencies</w:t>
      </w:r>
    </w:p>
    <w:p>
      <w:pPr>
        <w:spacing w:after="0" w:line="12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2022,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1D2758"/>
        </w:rPr>
        <w:t>NOTE 18 - Segment Reporting</w:t>
      </w:r>
    </w:p>
    <w:p>
      <w:pPr>
        <w:spacing w:after="0" w:line="12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operates in three reportable segments as follows: North America Modular Solutions ("NA Modular"), North America Storage Solutions ("NA Storage") and United Kingdom Storage Solutions ("UK Storage"). Total assets for each reportable segment are not available because the Company utilizes a centralized approach to working capital management. Transactions between reportable segments are not significant.</w:t>
      </w:r>
    </w:p>
    <w:p>
      <w:pPr>
        <w:jc w:val="both"/>
        <w:ind w:firstLine="619"/>
        <w:spacing w:after="0" w:line="265"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In addition, the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The Company also regularly evaluates gross profit by segment to assist in the assessment of its operational performance. The Company considers Adjusted EBITDA to be an important metric because it reflects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Reportable Segments</w:t>
      </w:r>
    </w:p>
    <w:p>
      <w:pPr>
        <w:spacing w:after="0" w:line="121"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following tables set forth certain information regarding each of the Company’s reportable segments for the three and nine months ended September 30, 2022 and 2021,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2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640" w:type="dxa"/>
            <w:vAlign w:val="bottom"/>
            <w:gridSpan w:val="5"/>
            <w:shd w:val="clear" w:color="auto" w:fill="1D2758"/>
          </w:tcPr>
          <w:p>
            <w:pPr>
              <w:jc w:val="right"/>
              <w:ind w:right="28"/>
              <w:spacing w:after="0"/>
              <w:rPr>
                <w:sz w:val="20"/>
                <w:szCs w:val="20"/>
                <w:color w:val="auto"/>
              </w:rPr>
            </w:pPr>
            <w:r>
              <w:rPr>
                <w:rFonts w:ascii="Arial" w:cs="Arial" w:eastAsia="Arial" w:hAnsi="Arial"/>
                <w:sz w:val="15"/>
                <w:szCs w:val="15"/>
                <w:b w:val="1"/>
                <w:bCs w:val="1"/>
                <w:color w:val="FFFFFF"/>
              </w:rPr>
              <w:t>Three Months Ended September 30, 2022</w:t>
            </w:r>
          </w:p>
        </w:tc>
        <w:tc>
          <w:tcPr>
            <w:tcW w:w="7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7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320" w:type="dxa"/>
            <w:vAlign w:val="bottom"/>
            <w:gridSpan w:val="2"/>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NA Modular</w:t>
            </w:r>
          </w:p>
        </w:tc>
        <w:tc>
          <w:tcPr>
            <w:tcW w:w="200" w:type="dxa"/>
            <w:vAlign w:val="bottom"/>
            <w:shd w:val="clear" w:color="auto" w:fill="1D2758"/>
          </w:tcPr>
          <w:p>
            <w:pPr>
              <w:spacing w:after="0"/>
              <w:rPr>
                <w:sz w:val="13"/>
                <w:szCs w:val="13"/>
                <w:color w:val="auto"/>
              </w:rPr>
            </w:pPr>
          </w:p>
        </w:tc>
        <w:tc>
          <w:tcPr>
            <w:tcW w:w="1320" w:type="dxa"/>
            <w:vAlign w:val="bottom"/>
            <w:gridSpan w:val="2"/>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NA Storage</w:t>
            </w:r>
          </w:p>
        </w:tc>
        <w:tc>
          <w:tcPr>
            <w:tcW w:w="200" w:type="dxa"/>
            <w:vAlign w:val="bottom"/>
            <w:shd w:val="clear" w:color="auto" w:fill="1D2758"/>
          </w:tcPr>
          <w:p>
            <w:pPr>
              <w:spacing w:after="0"/>
              <w:rPr>
                <w:sz w:val="13"/>
                <w:szCs w:val="13"/>
                <w:color w:val="auto"/>
              </w:rPr>
            </w:pPr>
          </w:p>
        </w:tc>
        <w:tc>
          <w:tcPr>
            <w:tcW w:w="122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UK Storage</w:t>
            </w:r>
          </w:p>
        </w:tc>
        <w:tc>
          <w:tcPr>
            <w:tcW w:w="1600" w:type="dxa"/>
            <w:vAlign w:val="bottom"/>
            <w:gridSpan w:val="2"/>
            <w:shd w:val="clear" w:color="auto" w:fill="1D2758"/>
          </w:tcPr>
          <w:p>
            <w:pPr>
              <w:jc w:val="right"/>
              <w:ind w:right="43"/>
              <w:spacing w:after="0" w:line="155" w:lineRule="exact"/>
              <w:rPr>
                <w:sz w:val="20"/>
                <w:szCs w:val="20"/>
                <w:color w:val="auto"/>
              </w:rPr>
            </w:pPr>
            <w:r>
              <w:rPr>
                <w:rFonts w:ascii="Arial" w:cs="Arial" w:eastAsia="Arial" w:hAnsi="Arial"/>
                <w:sz w:val="15"/>
                <w:szCs w:val="15"/>
                <w:b w:val="1"/>
                <w:bCs w:val="1"/>
                <w:color w:val="FFFFFF"/>
              </w:rPr>
              <w:t>Unallocated Costs</w:t>
            </w:r>
          </w:p>
        </w:tc>
        <w:tc>
          <w:tcPr>
            <w:tcW w:w="32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35"/>
        </w:trPr>
        <w:tc>
          <w:tcPr>
            <w:tcW w:w="3780" w:type="dxa"/>
            <w:vAlign w:val="bottom"/>
            <w:tcBorders>
              <w:bottom w:val="single" w:sz="8" w:color="1D2758"/>
            </w:tcBorders>
            <w:vMerge w:val="continue"/>
            <w:shd w:val="clear" w:color="auto" w:fill="1D2758"/>
          </w:tcPr>
          <w:p>
            <w:pPr>
              <w:spacing w:after="0"/>
              <w:rPr>
                <w:sz w:val="11"/>
                <w:szCs w:val="11"/>
                <w:color w:val="auto"/>
              </w:rPr>
            </w:pPr>
          </w:p>
        </w:tc>
        <w:tc>
          <w:tcPr>
            <w:tcW w:w="180" w:type="dxa"/>
            <w:vAlign w:val="bottom"/>
            <w:tcBorders>
              <w:bottom w:val="single" w:sz="8" w:color="1D2758"/>
            </w:tcBorders>
            <w:shd w:val="clear" w:color="auto" w:fill="1D2758"/>
          </w:tcPr>
          <w:p>
            <w:pPr>
              <w:spacing w:after="0"/>
              <w:rPr>
                <w:sz w:val="11"/>
                <w:szCs w:val="11"/>
                <w:color w:val="auto"/>
              </w:rPr>
            </w:pPr>
          </w:p>
        </w:tc>
        <w:tc>
          <w:tcPr>
            <w:tcW w:w="1320" w:type="dxa"/>
            <w:vAlign w:val="bottom"/>
            <w:tcBorders>
              <w:bottom w:val="single" w:sz="8" w:color="1D2758"/>
            </w:tcBorders>
            <w:gridSpan w:val="2"/>
            <w:vMerge w:val="continue"/>
            <w:shd w:val="clear" w:color="auto" w:fill="1D2758"/>
          </w:tcPr>
          <w:p>
            <w:pPr>
              <w:spacing w:after="0"/>
              <w:rPr>
                <w:sz w:val="11"/>
                <w:szCs w:val="11"/>
                <w:color w:val="auto"/>
              </w:rPr>
            </w:pPr>
          </w:p>
        </w:tc>
        <w:tc>
          <w:tcPr>
            <w:tcW w:w="200" w:type="dxa"/>
            <w:vAlign w:val="bottom"/>
            <w:tcBorders>
              <w:bottom w:val="single" w:sz="8" w:color="1D2758"/>
            </w:tcBorders>
            <w:shd w:val="clear" w:color="auto" w:fill="1D2758"/>
          </w:tcPr>
          <w:p>
            <w:pPr>
              <w:spacing w:after="0"/>
              <w:rPr>
                <w:sz w:val="11"/>
                <w:szCs w:val="11"/>
                <w:color w:val="auto"/>
              </w:rPr>
            </w:pPr>
          </w:p>
        </w:tc>
        <w:tc>
          <w:tcPr>
            <w:tcW w:w="1320" w:type="dxa"/>
            <w:vAlign w:val="bottom"/>
            <w:tcBorders>
              <w:bottom w:val="single" w:sz="8" w:color="1D2758"/>
            </w:tcBorders>
            <w:gridSpan w:val="2"/>
            <w:vMerge w:val="continue"/>
            <w:shd w:val="clear" w:color="auto" w:fill="1D2758"/>
          </w:tcPr>
          <w:p>
            <w:pPr>
              <w:spacing w:after="0"/>
              <w:rPr>
                <w:sz w:val="11"/>
                <w:szCs w:val="11"/>
                <w:color w:val="auto"/>
              </w:rPr>
            </w:pPr>
          </w:p>
        </w:tc>
        <w:tc>
          <w:tcPr>
            <w:tcW w:w="200" w:type="dxa"/>
            <w:vAlign w:val="bottom"/>
            <w:tcBorders>
              <w:bottom w:val="single" w:sz="8" w:color="1D2758"/>
            </w:tcBorders>
            <w:shd w:val="clear" w:color="auto" w:fill="1D2758"/>
          </w:tcPr>
          <w:p>
            <w:pPr>
              <w:spacing w:after="0"/>
              <w:rPr>
                <w:sz w:val="11"/>
                <w:szCs w:val="11"/>
                <w:color w:val="auto"/>
              </w:rPr>
            </w:pPr>
          </w:p>
        </w:tc>
        <w:tc>
          <w:tcPr>
            <w:tcW w:w="1220" w:type="dxa"/>
            <w:vAlign w:val="bottom"/>
            <w:tcBorders>
              <w:bottom w:val="single" w:sz="8" w:color="1D2758"/>
            </w:tcBorders>
            <w:vMerge w:val="continue"/>
            <w:shd w:val="clear" w:color="auto" w:fill="1D2758"/>
          </w:tcPr>
          <w:p>
            <w:pPr>
              <w:spacing w:after="0"/>
              <w:rPr>
                <w:sz w:val="11"/>
                <w:szCs w:val="11"/>
                <w:color w:val="auto"/>
              </w:rPr>
            </w:pPr>
          </w:p>
        </w:tc>
        <w:tc>
          <w:tcPr>
            <w:tcW w:w="900" w:type="dxa"/>
            <w:vAlign w:val="bottom"/>
            <w:tcBorders>
              <w:bottom w:val="single" w:sz="8" w:color="1D2758"/>
            </w:tcBorders>
            <w:shd w:val="clear" w:color="auto" w:fill="1D2758"/>
          </w:tcPr>
          <w:p>
            <w:pPr>
              <w:jc w:val="right"/>
              <w:ind w:right="8"/>
              <w:spacing w:after="0" w:line="104" w:lineRule="exact"/>
              <w:rPr>
                <w:sz w:val="20"/>
                <w:szCs w:val="20"/>
                <w:color w:val="auto"/>
              </w:rPr>
            </w:pPr>
            <w:r>
              <w:rPr>
                <w:rFonts w:ascii="Arial" w:cs="Arial" w:eastAsia="Arial" w:hAnsi="Arial"/>
                <w:sz w:val="10"/>
                <w:szCs w:val="10"/>
                <w:b w:val="1"/>
                <w:bCs w:val="1"/>
                <w:color w:val="FFFFFF"/>
              </w:rPr>
              <w:t>1</w:t>
            </w:r>
          </w:p>
        </w:tc>
        <w:tc>
          <w:tcPr>
            <w:tcW w:w="700" w:type="dxa"/>
            <w:vAlign w:val="bottom"/>
            <w:tcBorders>
              <w:bottom w:val="single" w:sz="8" w:color="1D2758"/>
            </w:tcBorders>
            <w:shd w:val="clear" w:color="auto" w:fill="1D2758"/>
          </w:tcPr>
          <w:p>
            <w:pPr>
              <w:spacing w:after="0"/>
              <w:rPr>
                <w:sz w:val="11"/>
                <w:szCs w:val="11"/>
                <w:color w:val="auto"/>
              </w:rPr>
            </w:pPr>
          </w:p>
        </w:tc>
        <w:tc>
          <w:tcPr>
            <w:tcW w:w="320" w:type="dxa"/>
            <w:vAlign w:val="bottom"/>
            <w:tcBorders>
              <w:bottom w:val="single" w:sz="8" w:color="1D2758"/>
            </w:tcBorders>
            <w:shd w:val="clear" w:color="auto" w:fill="1D2758"/>
          </w:tcPr>
          <w:p>
            <w:pPr>
              <w:spacing w:after="0"/>
              <w:rPr>
                <w:sz w:val="11"/>
                <w:szCs w:val="11"/>
                <w:color w:val="auto"/>
              </w:rPr>
            </w:pPr>
          </w:p>
        </w:tc>
        <w:tc>
          <w:tcPr>
            <w:tcW w:w="1100" w:type="dxa"/>
            <w:vAlign w:val="bottom"/>
            <w:tcBorders>
              <w:bottom w:val="single" w:sz="8" w:color="1D2758"/>
            </w:tcBorders>
            <w:vMerge w:val="continue"/>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271,271</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156,572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19,692</w:t>
            </w:r>
          </w:p>
        </w:tc>
        <w:tc>
          <w:tcPr>
            <w:tcW w:w="9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447,535</w:t>
            </w:r>
          </w:p>
        </w:tc>
        <w:tc>
          <w:tcPr>
            <w:tcW w:w="0" w:type="dxa"/>
            <w:vAlign w:val="bottom"/>
          </w:tcPr>
          <w:p>
            <w:pPr>
              <w:spacing w:after="0"/>
              <w:rPr>
                <w:sz w:val="1"/>
                <w:szCs w:val="1"/>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84,373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42,643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5,821</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132,837</w:t>
            </w:r>
          </w:p>
        </w:tc>
        <w:tc>
          <w:tcPr>
            <w:tcW w:w="0" w:type="dxa"/>
            <w:vAlign w:val="bottom"/>
          </w:tcPr>
          <w:p>
            <w:pPr>
              <w:spacing w:after="0"/>
              <w:rPr>
                <w:sz w:val="1"/>
                <w:szCs w:val="1"/>
                <w:color w:val="auto"/>
              </w:rPr>
            </w:pP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7,893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294</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9,901</w:t>
            </w:r>
          </w:p>
        </w:tc>
        <w:tc>
          <w:tcPr>
            <w:tcW w:w="0" w:type="dxa"/>
            <w:vAlign w:val="bottom"/>
          </w:tcPr>
          <w:p>
            <w:pPr>
              <w:spacing w:after="0"/>
              <w:rPr>
                <w:sz w:val="1"/>
                <w:szCs w:val="1"/>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11,827</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1,716</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357</w:t>
            </w:r>
          </w:p>
        </w:tc>
        <w:tc>
          <w:tcPr>
            <w:tcW w:w="9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13,900</w:t>
            </w:r>
          </w:p>
        </w:tc>
        <w:tc>
          <w:tcPr>
            <w:tcW w:w="0" w:type="dxa"/>
            <w:vAlign w:val="bottom"/>
          </w:tcPr>
          <w:p>
            <w:pPr>
              <w:spacing w:after="0"/>
              <w:rPr>
                <w:sz w:val="1"/>
                <w:szCs w:val="1"/>
                <w:color w:val="auto"/>
              </w:rPr>
            </w:pPr>
          </w:p>
        </w:tc>
      </w:tr>
      <w:tr>
        <w:trPr>
          <w:trHeight w:val="198"/>
        </w:trPr>
        <w:tc>
          <w:tcPr>
            <w:tcW w:w="37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375,364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202,645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26,164</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604,173</w:t>
            </w:r>
          </w:p>
        </w:tc>
        <w:tc>
          <w:tcPr>
            <w:tcW w:w="0" w:type="dxa"/>
            <w:vAlign w:val="bottom"/>
          </w:tcPr>
          <w:p>
            <w:pPr>
              <w:spacing w:after="0"/>
              <w:rPr>
                <w:sz w:val="1"/>
                <w:szCs w:val="1"/>
                <w:color w:val="auto"/>
              </w:rPr>
            </w:pPr>
          </w:p>
        </w:tc>
      </w:tr>
      <w:tr>
        <w:trPr>
          <w:trHeight w:val="259"/>
        </w:trPr>
        <w:tc>
          <w:tcPr>
            <w:tcW w:w="37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7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Costs: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81,385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26,334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4,179</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111,898</w:t>
            </w:r>
          </w:p>
        </w:tc>
        <w:tc>
          <w:tcPr>
            <w:tcW w:w="0" w:type="dxa"/>
            <w:vAlign w:val="bottom"/>
          </w:tcPr>
          <w:p>
            <w:pPr>
              <w:spacing w:after="0"/>
              <w:rPr>
                <w:sz w:val="1"/>
                <w:szCs w:val="1"/>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66,464</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25,281</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3,935</w:t>
            </w:r>
          </w:p>
        </w:tc>
        <w:tc>
          <w:tcPr>
            <w:tcW w:w="9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95,680</w:t>
            </w: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4,796</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209</w:t>
            </w:r>
          </w:p>
        </w:tc>
        <w:tc>
          <w:tcPr>
            <w:tcW w:w="9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6,007</w:t>
            </w:r>
          </w:p>
        </w:tc>
        <w:tc>
          <w:tcPr>
            <w:tcW w:w="0" w:type="dxa"/>
            <w:vAlign w:val="bottom"/>
          </w:tcPr>
          <w:p>
            <w:pPr>
              <w:spacing w:after="0"/>
              <w:rPr>
                <w:sz w:val="1"/>
                <w:szCs w:val="1"/>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5,639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251</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7,097</w:t>
            </w:r>
          </w:p>
        </w:tc>
        <w:tc>
          <w:tcPr>
            <w:tcW w:w="0" w:type="dxa"/>
            <w:vAlign w:val="bottom"/>
          </w:tcPr>
          <w:p>
            <w:pPr>
              <w:spacing w:after="0"/>
              <w:rPr>
                <w:sz w:val="1"/>
                <w:szCs w:val="1"/>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60,228</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7,786</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1,145</w:t>
            </w:r>
          </w:p>
        </w:tc>
        <w:tc>
          <w:tcPr>
            <w:tcW w:w="9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69,159</w:t>
            </w:r>
          </w:p>
        </w:tc>
        <w:tc>
          <w:tcPr>
            <w:tcW w:w="0" w:type="dxa"/>
            <w:vAlign w:val="bottom"/>
          </w:tcPr>
          <w:p>
            <w:pPr>
              <w:spacing w:after="0"/>
              <w:rPr>
                <w:sz w:val="1"/>
                <w:szCs w:val="1"/>
                <w:color w:val="auto"/>
              </w:rPr>
            </w:pPr>
          </w:p>
        </w:tc>
      </w:tr>
      <w:tr>
        <w:trPr>
          <w:trHeight w:val="198"/>
        </w:trPr>
        <w:tc>
          <w:tcPr>
            <w:tcW w:w="37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156,852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141,035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16,445</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314,332</w:t>
            </w:r>
          </w:p>
        </w:tc>
        <w:tc>
          <w:tcPr>
            <w:tcW w:w="0" w:type="dxa"/>
            <w:vAlign w:val="bottom"/>
          </w:tcPr>
          <w:p>
            <w:pPr>
              <w:spacing w:after="0"/>
              <w:rPr>
                <w:sz w:val="1"/>
                <w:szCs w:val="1"/>
                <w:color w:val="auto"/>
              </w:rPr>
            </w:pPr>
          </w:p>
        </w:tc>
      </w:tr>
      <w:tr>
        <w:trPr>
          <w:trHeight w:val="20"/>
        </w:trPr>
        <w:tc>
          <w:tcPr>
            <w:tcW w:w="37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7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18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140,673</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98,695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11,971</w:t>
            </w:r>
          </w:p>
        </w:tc>
        <w:tc>
          <w:tcPr>
            <w:tcW w:w="900" w:type="dxa"/>
            <w:vAlign w:val="bottom"/>
          </w:tcPr>
          <w:p>
            <w:pPr>
              <w:jc w:val="right"/>
              <w:ind w:right="648"/>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251,339</w:t>
            </w:r>
          </w:p>
        </w:tc>
        <w:tc>
          <w:tcPr>
            <w:tcW w:w="0" w:type="dxa"/>
            <w:vAlign w:val="bottom"/>
          </w:tcPr>
          <w:p>
            <w:pPr>
              <w:spacing w:after="0"/>
              <w:rPr>
                <w:sz w:val="1"/>
                <w:szCs w:val="1"/>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79,345</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49,799</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5,622</w:t>
            </w:r>
          </w:p>
        </w:tc>
        <w:tc>
          <w:tcPr>
            <w:tcW w:w="900" w:type="dxa"/>
            <w:vAlign w:val="bottom"/>
            <w:shd w:val="clear" w:color="auto" w:fill="DBDBDB"/>
          </w:tcPr>
          <w:p>
            <w:pPr>
              <w:jc w:val="right"/>
              <w:ind w:right="648"/>
              <w:spacing w:after="0"/>
              <w:rPr>
                <w:sz w:val="20"/>
                <w:szCs w:val="20"/>
                <w:color w:val="auto"/>
              </w:rPr>
            </w:pPr>
            <w:r>
              <w:rPr>
                <w:rFonts w:ascii="Arial" w:cs="Arial" w:eastAsia="Arial" w:hAnsi="Arial"/>
                <w:sz w:val="15"/>
                <w:szCs w:val="15"/>
                <w:color w:val="auto"/>
              </w:rPr>
              <w:t>$</w:t>
            </w:r>
          </w:p>
        </w:tc>
        <w:tc>
          <w:tcPr>
            <w:tcW w:w="70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10,678</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145,444</w:t>
            </w:r>
          </w:p>
        </w:tc>
        <w:tc>
          <w:tcPr>
            <w:tcW w:w="0" w:type="dxa"/>
            <w:vAlign w:val="bottom"/>
          </w:tcPr>
          <w:p>
            <w:pPr>
              <w:spacing w:after="0"/>
              <w:rPr>
                <w:sz w:val="1"/>
                <w:szCs w:val="1"/>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81,052</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41,246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4,605</w:t>
            </w:r>
          </w:p>
        </w:tc>
        <w:tc>
          <w:tcPr>
            <w:tcW w:w="900" w:type="dxa"/>
            <w:vAlign w:val="bottom"/>
          </w:tcPr>
          <w:p>
            <w:pPr>
              <w:jc w:val="right"/>
              <w:ind w:right="648"/>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126,903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00" w:hanging="97"/>
        <w:spacing w:after="0"/>
        <w:tabs>
          <w:tab w:leader="none" w:pos="10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Unallocated SG&amp;A expense includes non-cash charges for stock compensation plans and costs to integrate acquired companies.</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57"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6"/>
        </w:trPr>
        <w:tc>
          <w:tcPr>
            <w:tcW w:w="37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2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620" w:type="dxa"/>
            <w:vAlign w:val="bottom"/>
            <w:gridSpan w:val="5"/>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Three Months Ended September 30, 2021</w:t>
            </w:r>
          </w:p>
        </w:tc>
        <w:tc>
          <w:tcPr>
            <w:tcW w:w="72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206"/>
        </w:trPr>
        <w:tc>
          <w:tcPr>
            <w:tcW w:w="3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7"/>
                <w:szCs w:val="17"/>
                <w:color w:val="auto"/>
              </w:rPr>
            </w:pPr>
          </w:p>
        </w:tc>
        <w:tc>
          <w:tcPr>
            <w:tcW w:w="132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NA Modular</w:t>
            </w:r>
          </w:p>
        </w:tc>
        <w:tc>
          <w:tcPr>
            <w:tcW w:w="200" w:type="dxa"/>
            <w:vAlign w:val="bottom"/>
            <w:shd w:val="clear" w:color="auto" w:fill="1D2758"/>
          </w:tcPr>
          <w:p>
            <w:pPr>
              <w:spacing w:after="0"/>
              <w:rPr>
                <w:sz w:val="17"/>
                <w:szCs w:val="17"/>
                <w:color w:val="auto"/>
              </w:rPr>
            </w:pPr>
          </w:p>
        </w:tc>
        <w:tc>
          <w:tcPr>
            <w:tcW w:w="132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NA Storage</w:t>
            </w:r>
          </w:p>
        </w:tc>
        <w:tc>
          <w:tcPr>
            <w:tcW w:w="20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UK Storage</w:t>
            </w:r>
          </w:p>
        </w:tc>
        <w:tc>
          <w:tcPr>
            <w:tcW w:w="1600" w:type="dxa"/>
            <w:vAlign w:val="bottom"/>
            <w:gridSpan w:val="2"/>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Unallocated Costs</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219,736</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101,172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21,691</w:t>
            </w:r>
          </w:p>
        </w:tc>
        <w:tc>
          <w:tcPr>
            <w:tcW w:w="8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342,599</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58,017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28,330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5,563</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91,910</w:t>
            </w: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13,483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580</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15,370</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7,815</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3,088</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265</w:t>
            </w:r>
          </w:p>
        </w:tc>
        <w:tc>
          <w:tcPr>
            <w:tcW w:w="8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11,168</w:t>
            </w:r>
          </w:p>
        </w:tc>
      </w:tr>
      <w:tr>
        <w:trPr>
          <w:trHeight w:val="198"/>
        </w:trPr>
        <w:tc>
          <w:tcPr>
            <w:tcW w:w="37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299,051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133,897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28,099</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461,047</w:t>
            </w:r>
          </w:p>
        </w:tc>
      </w:tr>
      <w:tr>
        <w:trPr>
          <w:trHeight w:val="259"/>
        </w:trPr>
        <w:tc>
          <w:tcPr>
            <w:tcW w:w="37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880" w:type="dxa"/>
            <w:vAlign w:val="bottom"/>
            <w:shd w:val="clear" w:color="auto" w:fill="DBDBDB"/>
          </w:tcPr>
          <w:p>
            <w:pPr>
              <w:spacing w:after="0"/>
              <w:rPr>
                <w:sz w:val="22"/>
                <w:szCs w:val="22"/>
                <w:color w:val="auto"/>
              </w:rPr>
            </w:pPr>
          </w:p>
        </w:tc>
        <w:tc>
          <w:tcPr>
            <w:tcW w:w="72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Costs: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59,260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14,393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4,314</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77,967</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51,655</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19,328</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3,238</w:t>
            </w:r>
          </w:p>
        </w:tc>
        <w:tc>
          <w:tcPr>
            <w:tcW w:w="8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74,221</w:t>
            </w: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10,080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727</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368</w:t>
            </w:r>
          </w:p>
        </w:tc>
        <w:tc>
          <w:tcPr>
            <w:tcW w:w="8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11,175</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3,636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245</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5,468</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46,566</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5,366</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1,058</w:t>
            </w:r>
          </w:p>
        </w:tc>
        <w:tc>
          <w:tcPr>
            <w:tcW w:w="8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52,990</w:t>
            </w:r>
          </w:p>
        </w:tc>
      </w:tr>
      <w:tr>
        <w:trPr>
          <w:trHeight w:val="198"/>
        </w:trPr>
        <w:tc>
          <w:tcPr>
            <w:tcW w:w="37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127,854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92,496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18,876</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239,226</w:t>
            </w:r>
          </w:p>
        </w:tc>
      </w:tr>
      <w:tr>
        <w:trPr>
          <w:trHeight w:val="20"/>
        </w:trPr>
        <w:tc>
          <w:tcPr>
            <w:tcW w:w="37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DBDBDB"/>
            </w:tcBorders>
          </w:tcPr>
          <w:p>
            <w:pPr>
              <w:spacing w:after="0" w:line="20" w:lineRule="exact"/>
              <w:rPr>
                <w:sz w:val="1"/>
                <w:szCs w:val="1"/>
                <w:color w:val="auto"/>
              </w:rPr>
            </w:pPr>
          </w:p>
        </w:tc>
        <w:tc>
          <w:tcPr>
            <w:tcW w:w="7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18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106,825</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59,123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13,255</w:t>
            </w:r>
          </w:p>
        </w:tc>
        <w:tc>
          <w:tcPr>
            <w:tcW w:w="880" w:type="dxa"/>
            <w:vAlign w:val="bottom"/>
          </w:tcPr>
          <w:p>
            <w:pPr>
              <w:jc w:val="right"/>
              <w:ind w:right="62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179,203</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66,529</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39,314</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6,680</w:t>
            </w:r>
          </w:p>
        </w:tc>
        <w:tc>
          <w:tcPr>
            <w:tcW w:w="880" w:type="dxa"/>
            <w:vAlign w:val="bottom"/>
            <w:shd w:val="clear" w:color="auto" w:fill="DBDBDB"/>
          </w:tcPr>
          <w:p>
            <w:pPr>
              <w:jc w:val="right"/>
              <w:ind w:right="623"/>
              <w:spacing w:after="0"/>
              <w:rPr>
                <w:sz w:val="20"/>
                <w:szCs w:val="20"/>
                <w:color w:val="auto"/>
              </w:rPr>
            </w:pPr>
            <w:r>
              <w:rPr>
                <w:rFonts w:ascii="Arial" w:cs="Arial" w:eastAsia="Arial" w:hAnsi="Arial"/>
                <w:sz w:val="15"/>
                <w:szCs w:val="15"/>
                <w:color w:val="auto"/>
              </w:rPr>
              <w:t>$</w:t>
            </w:r>
          </w:p>
        </w:tc>
        <w:tc>
          <w:tcPr>
            <w:tcW w:w="7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14,823</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127,346</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31,789</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11,920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11,649</w:t>
            </w:r>
          </w:p>
        </w:tc>
        <w:tc>
          <w:tcPr>
            <w:tcW w:w="880" w:type="dxa"/>
            <w:vAlign w:val="bottom"/>
          </w:tcPr>
          <w:p>
            <w:pPr>
              <w:jc w:val="right"/>
              <w:ind w:right="62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55,358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6"/>
        </w:trPr>
        <w:tc>
          <w:tcPr>
            <w:tcW w:w="37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2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600" w:type="dxa"/>
            <w:vAlign w:val="bottom"/>
            <w:gridSpan w:val="5"/>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Nine Months Ended September 30, 2022</w:t>
            </w:r>
          </w:p>
        </w:tc>
        <w:tc>
          <w:tcPr>
            <w:tcW w:w="74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206"/>
        </w:trPr>
        <w:tc>
          <w:tcPr>
            <w:tcW w:w="3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7"/>
                <w:szCs w:val="17"/>
                <w:color w:val="auto"/>
              </w:rPr>
            </w:pPr>
          </w:p>
        </w:tc>
        <w:tc>
          <w:tcPr>
            <w:tcW w:w="132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NA Modular</w:t>
            </w:r>
          </w:p>
        </w:tc>
        <w:tc>
          <w:tcPr>
            <w:tcW w:w="200" w:type="dxa"/>
            <w:vAlign w:val="bottom"/>
            <w:shd w:val="clear" w:color="auto" w:fill="1D2758"/>
          </w:tcPr>
          <w:p>
            <w:pPr>
              <w:spacing w:after="0"/>
              <w:rPr>
                <w:sz w:val="17"/>
                <w:szCs w:val="17"/>
                <w:color w:val="auto"/>
              </w:rPr>
            </w:pPr>
          </w:p>
        </w:tc>
        <w:tc>
          <w:tcPr>
            <w:tcW w:w="132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NA Storage</w:t>
            </w:r>
          </w:p>
        </w:tc>
        <w:tc>
          <w:tcPr>
            <w:tcW w:w="20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UK Storage</w:t>
            </w:r>
          </w:p>
        </w:tc>
        <w:tc>
          <w:tcPr>
            <w:tcW w:w="1600" w:type="dxa"/>
            <w:vAlign w:val="bottom"/>
            <w:gridSpan w:val="2"/>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Unallocated Costs</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756,294</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409,491</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60,421</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1,226,206</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213,686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109,710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17,631</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341,027</w:t>
            </w: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21,258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910</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26,232</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31,482</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6,082</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1,310</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38,874</w:t>
            </w:r>
          </w:p>
        </w:tc>
      </w:tr>
      <w:tr>
        <w:trPr>
          <w:trHeight w:val="198"/>
        </w:trPr>
        <w:tc>
          <w:tcPr>
            <w:tcW w:w="37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1,022,720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529,347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80,272</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1,632,339</w:t>
            </w:r>
          </w:p>
        </w:tc>
      </w:tr>
      <w:tr>
        <w:trPr>
          <w:trHeight w:val="259"/>
        </w:trPr>
        <w:tc>
          <w:tcPr>
            <w:tcW w:w="37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74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Costs: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213,675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62,489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12,610</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288,774</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174,498</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70,364</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11,268</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256,130</w:t>
            </w: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12,297</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2,578</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594</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15,469</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16,125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908</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21,123</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166,552</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22,241</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3,435</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192,228</w:t>
            </w:r>
          </w:p>
        </w:tc>
      </w:tr>
      <w:tr>
        <w:trPr>
          <w:trHeight w:val="198"/>
        </w:trPr>
        <w:tc>
          <w:tcPr>
            <w:tcW w:w="37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439,573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367,585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51,457</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858,615</w:t>
            </w:r>
          </w:p>
        </w:tc>
      </w:tr>
      <w:tr>
        <w:trPr>
          <w:trHeight w:val="20"/>
        </w:trPr>
        <w:tc>
          <w:tcPr>
            <w:tcW w:w="37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DBDBDB"/>
            </w:tcBorders>
          </w:tcPr>
          <w:p>
            <w:pPr>
              <w:spacing w:after="0" w:line="20" w:lineRule="exact"/>
              <w:rPr>
                <w:sz w:val="1"/>
                <w:szCs w:val="1"/>
                <w:color w:val="auto"/>
              </w:rPr>
            </w:pPr>
          </w:p>
        </w:tc>
        <w:tc>
          <w:tcPr>
            <w:tcW w:w="74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18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372,502</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243,282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36,745</w:t>
            </w:r>
          </w:p>
        </w:tc>
        <w:tc>
          <w:tcPr>
            <w:tcW w:w="860" w:type="dxa"/>
            <w:vAlign w:val="bottom"/>
          </w:tcPr>
          <w:p>
            <w:pPr>
              <w:jc w:val="right"/>
              <w:ind w:right="60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652,529</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242,268</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146,189</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18,147</w:t>
            </w:r>
          </w:p>
        </w:tc>
        <w:tc>
          <w:tcPr>
            <w:tcW w:w="860" w:type="dxa"/>
            <w:vAlign w:val="bottom"/>
            <w:shd w:val="clear" w:color="auto" w:fill="DBDBDB"/>
          </w:tcPr>
          <w:p>
            <w:pPr>
              <w:jc w:val="right"/>
              <w:ind w:right="603"/>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38,715</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445,319</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221,111</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95,699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21,824</w:t>
            </w:r>
          </w:p>
        </w:tc>
        <w:tc>
          <w:tcPr>
            <w:tcW w:w="860" w:type="dxa"/>
            <w:vAlign w:val="bottom"/>
          </w:tcPr>
          <w:p>
            <w:pPr>
              <w:jc w:val="right"/>
              <w:ind w:right="60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338,634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6"/>
        </w:trPr>
        <w:tc>
          <w:tcPr>
            <w:tcW w:w="37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2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3600" w:type="dxa"/>
            <w:vAlign w:val="bottom"/>
            <w:gridSpan w:val="5"/>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Nine Months Ended September 30, 2021</w:t>
            </w:r>
          </w:p>
        </w:tc>
        <w:tc>
          <w:tcPr>
            <w:tcW w:w="74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r>
      <w:tr>
        <w:trPr>
          <w:trHeight w:val="206"/>
        </w:trPr>
        <w:tc>
          <w:tcPr>
            <w:tcW w:w="37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7"/>
                <w:szCs w:val="17"/>
                <w:color w:val="auto"/>
              </w:rPr>
            </w:pPr>
          </w:p>
        </w:tc>
        <w:tc>
          <w:tcPr>
            <w:tcW w:w="132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NA Modular</w:t>
            </w:r>
          </w:p>
        </w:tc>
        <w:tc>
          <w:tcPr>
            <w:tcW w:w="200" w:type="dxa"/>
            <w:vAlign w:val="bottom"/>
            <w:shd w:val="clear" w:color="auto" w:fill="1D2758"/>
          </w:tcPr>
          <w:p>
            <w:pPr>
              <w:spacing w:after="0"/>
              <w:rPr>
                <w:sz w:val="17"/>
                <w:szCs w:val="17"/>
                <w:color w:val="auto"/>
              </w:rPr>
            </w:pPr>
          </w:p>
        </w:tc>
        <w:tc>
          <w:tcPr>
            <w:tcW w:w="132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NA Storage</w:t>
            </w:r>
          </w:p>
        </w:tc>
        <w:tc>
          <w:tcPr>
            <w:tcW w:w="20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UK Storage</w:t>
            </w:r>
          </w:p>
        </w:tc>
        <w:tc>
          <w:tcPr>
            <w:tcW w:w="1600" w:type="dxa"/>
            <w:vAlign w:val="bottom"/>
            <w:gridSpan w:val="2"/>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Unallocated Costs</w:t>
            </w:r>
          </w:p>
        </w:tc>
        <w:tc>
          <w:tcPr>
            <w:tcW w:w="32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636,979</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267,489</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61,426</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965,894</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161,548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73,214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18,152</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252,914</w:t>
            </w: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27,814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5,355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2,746</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35,915</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28,316</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11,381</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1,214</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40,911</w:t>
            </w:r>
          </w:p>
        </w:tc>
      </w:tr>
      <w:tr>
        <w:trPr>
          <w:trHeight w:val="198"/>
        </w:trPr>
        <w:tc>
          <w:tcPr>
            <w:tcW w:w="37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854,657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357,439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83,538</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1,295,634</w:t>
            </w:r>
          </w:p>
        </w:tc>
      </w:tr>
      <w:tr>
        <w:trPr>
          <w:trHeight w:val="259"/>
        </w:trPr>
        <w:tc>
          <w:tcPr>
            <w:tcW w:w="37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74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Costs: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172,108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37,300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13,339</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222,747</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147,514</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51,811</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10,638</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209,963</w:t>
            </w: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19,330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3,190</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1,802</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24,322</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8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14,611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1,163</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22,441</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144,102</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17,635</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3,290</w:t>
            </w:r>
          </w:p>
        </w:tc>
        <w:tc>
          <w:tcPr>
            <w:tcW w:w="8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165,027</w:t>
            </w:r>
          </w:p>
        </w:tc>
      </w:tr>
      <w:tr>
        <w:trPr>
          <w:trHeight w:val="198"/>
        </w:trPr>
        <w:tc>
          <w:tcPr>
            <w:tcW w:w="37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356,992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240,836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53,306</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651,134</w:t>
            </w:r>
          </w:p>
        </w:tc>
      </w:tr>
      <w:tr>
        <w:trPr>
          <w:trHeight w:val="20"/>
        </w:trPr>
        <w:tc>
          <w:tcPr>
            <w:tcW w:w="37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DBDBDB"/>
            </w:tcBorders>
          </w:tcPr>
          <w:p>
            <w:pPr>
              <w:spacing w:after="0" w:line="20" w:lineRule="exact"/>
              <w:rPr>
                <w:sz w:val="1"/>
                <w:szCs w:val="1"/>
                <w:color w:val="auto"/>
              </w:rPr>
            </w:pPr>
          </w:p>
        </w:tc>
        <w:tc>
          <w:tcPr>
            <w:tcW w:w="74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18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307,741</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154,971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36,647</w:t>
            </w:r>
          </w:p>
        </w:tc>
        <w:tc>
          <w:tcPr>
            <w:tcW w:w="860" w:type="dxa"/>
            <w:vAlign w:val="bottom"/>
          </w:tcPr>
          <w:p>
            <w:pPr>
              <w:jc w:val="right"/>
              <w:ind w:right="60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499,359</w:t>
            </w:r>
          </w:p>
        </w:tc>
      </w:tr>
      <w:tr>
        <w:trPr>
          <w:trHeight w:val="207"/>
        </w:trPr>
        <w:tc>
          <w:tcPr>
            <w:tcW w:w="37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192,285</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105,577</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19,949</w:t>
            </w:r>
          </w:p>
        </w:tc>
        <w:tc>
          <w:tcPr>
            <w:tcW w:w="860" w:type="dxa"/>
            <w:vAlign w:val="bottom"/>
            <w:shd w:val="clear" w:color="auto" w:fill="DBDBDB"/>
          </w:tcPr>
          <w:p>
            <w:pPr>
              <w:jc w:val="right"/>
              <w:ind w:right="603"/>
              <w:spacing w:after="0"/>
              <w:rPr>
                <w:sz w:val="20"/>
                <w:szCs w:val="20"/>
                <w:color w:val="auto"/>
              </w:rPr>
            </w:pPr>
            <w:r>
              <w:rPr>
                <w:rFonts w:ascii="Arial" w:cs="Arial" w:eastAsia="Arial" w:hAnsi="Arial"/>
                <w:sz w:val="15"/>
                <w:szCs w:val="15"/>
                <w:color w:val="auto"/>
              </w:rPr>
              <w:t>$</w:t>
            </w:r>
          </w:p>
        </w:tc>
        <w:tc>
          <w:tcPr>
            <w:tcW w:w="74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38,840</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356,651</w:t>
            </w:r>
          </w:p>
        </w:tc>
      </w:tr>
      <w:tr>
        <w:trPr>
          <w:trHeight w:val="205"/>
        </w:trPr>
        <w:tc>
          <w:tcPr>
            <w:tcW w:w="37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120,288</w:t>
            </w:r>
          </w:p>
        </w:tc>
        <w:tc>
          <w:tcPr>
            <w:tcW w:w="80" w:type="dxa"/>
            <w:vAlign w:val="bottom"/>
          </w:tcPr>
          <w:p>
            <w:pPr>
              <w:spacing w:after="0"/>
              <w:rPr>
                <w:sz w:val="17"/>
                <w:szCs w:val="17"/>
                <w:color w:val="auto"/>
              </w:rPr>
            </w:pP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24,165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22,645</w:t>
            </w:r>
          </w:p>
        </w:tc>
        <w:tc>
          <w:tcPr>
            <w:tcW w:w="860" w:type="dxa"/>
            <w:vAlign w:val="bottom"/>
          </w:tcPr>
          <w:p>
            <w:pPr>
              <w:jc w:val="right"/>
              <w:ind w:right="60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167,098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620"/>
        <w:spacing w:after="0"/>
        <w:rPr>
          <w:sz w:val="20"/>
          <w:szCs w:val="20"/>
          <w:color w:val="auto"/>
        </w:rPr>
      </w:pPr>
      <w:r>
        <w:rPr>
          <w:rFonts w:ascii="Arial" w:cs="Arial" w:eastAsia="Arial" w:hAnsi="Arial"/>
          <w:sz w:val="15"/>
          <w:szCs w:val="15"/>
          <w:color w:val="auto"/>
        </w:rPr>
        <w:t>The following table presents reconciliations of the Company’s Income from continuing operations to Adjusted EBITDA for the three and nine months ended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2022 and 2021,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3500" w:type="dxa"/>
            <w:vAlign w:val="bottom"/>
            <w:gridSpan w:val="5"/>
            <w:shd w:val="clear" w:color="auto" w:fill="1D2758"/>
          </w:tcPr>
          <w:p>
            <w:pPr>
              <w:ind w:left="240"/>
              <w:spacing w:after="0"/>
              <w:rPr>
                <w:sz w:val="20"/>
                <w:szCs w:val="20"/>
                <w:color w:val="auto"/>
              </w:rPr>
            </w:pPr>
            <w:r>
              <w:rPr>
                <w:rFonts w:ascii="Arial" w:cs="Arial" w:eastAsia="Arial" w:hAnsi="Arial"/>
                <w:sz w:val="15"/>
                <w:szCs w:val="15"/>
                <w:b w:val="1"/>
                <w:bCs w:val="1"/>
                <w:color w:val="FFFFFF"/>
              </w:rPr>
              <w:t>Three Months Ended September 30,</w:t>
            </w:r>
          </w:p>
        </w:tc>
        <w:tc>
          <w:tcPr>
            <w:tcW w:w="340" w:type="dxa"/>
            <w:vAlign w:val="bottom"/>
            <w:shd w:val="clear" w:color="auto" w:fill="1D2758"/>
          </w:tcPr>
          <w:p>
            <w:pPr>
              <w:spacing w:after="0"/>
              <w:rPr>
                <w:sz w:val="17"/>
                <w:szCs w:val="17"/>
                <w:color w:val="auto"/>
              </w:rPr>
            </w:pPr>
          </w:p>
        </w:tc>
        <w:tc>
          <w:tcPr>
            <w:tcW w:w="3380" w:type="dxa"/>
            <w:vAlign w:val="bottom"/>
            <w:gridSpan w:val="4"/>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06"/>
        </w:trPr>
        <w:tc>
          <w:tcPr>
            <w:tcW w:w="37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20" w:type="dxa"/>
            <w:vAlign w:val="bottom"/>
            <w:shd w:val="clear" w:color="auto" w:fill="1D2758"/>
          </w:tcPr>
          <w:p>
            <w:pPr>
              <w:spacing w:after="0"/>
              <w:rPr>
                <w:sz w:val="17"/>
                <w:szCs w:val="17"/>
                <w:color w:val="auto"/>
              </w:rPr>
            </w:pPr>
          </w:p>
        </w:tc>
        <w:tc>
          <w:tcPr>
            <w:tcW w:w="15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4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206"/>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85,728</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57,113</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200,099</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75,278</w:t>
            </w:r>
          </w:p>
        </w:tc>
        <w:tc>
          <w:tcPr>
            <w:tcW w:w="0" w:type="dxa"/>
            <w:vAlign w:val="bottom"/>
          </w:tcPr>
          <w:p>
            <w:pPr>
              <w:spacing w:after="0"/>
              <w:rPr>
                <w:sz w:val="1"/>
                <w:szCs w:val="1"/>
                <w:color w:val="auto"/>
              </w:rPr>
            </w:pPr>
          </w:p>
        </w:tc>
      </w:tr>
      <w:tr>
        <w:trPr>
          <w:trHeight w:val="205"/>
        </w:trPr>
        <w:tc>
          <w:tcPr>
            <w:tcW w:w="370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30,219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5,243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67,167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32,341</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320" w:type="dxa"/>
            <w:vAlign w:val="bottom"/>
            <w:shd w:val="clear" w:color="auto" w:fill="DBDBDB"/>
          </w:tcPr>
          <w:p>
            <w:pPr>
              <w:spacing w:after="0"/>
              <w:rPr>
                <w:sz w:val="18"/>
                <w:szCs w:val="18"/>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5"/>
        </w:trPr>
        <w:tc>
          <w:tcPr>
            <w:tcW w:w="3700" w:type="dxa"/>
            <w:vAlign w:val="bottom"/>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32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38,165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29,006</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102,362</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87,793</w:t>
            </w:r>
          </w:p>
        </w:tc>
        <w:tc>
          <w:tcPr>
            <w:tcW w:w="0" w:type="dxa"/>
            <w:vAlign w:val="bottom"/>
          </w:tcPr>
          <w:p>
            <w:pPr>
              <w:spacing w:after="0"/>
              <w:rPr>
                <w:sz w:val="1"/>
                <w:szCs w:val="1"/>
                <w:color w:val="auto"/>
              </w:rPr>
            </w:pPr>
          </w:p>
        </w:tc>
      </w:tr>
      <w:tr>
        <w:trPr>
          <w:trHeight w:val="205"/>
        </w:trPr>
        <w:tc>
          <w:tcPr>
            <w:tcW w:w="37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86,225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69,449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243,123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216,820</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247</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55"/>
        </w:trPr>
        <w:tc>
          <w:tcPr>
            <w:tcW w:w="3700" w:type="dxa"/>
            <w:vAlign w:val="bottom"/>
          </w:tcPr>
          <w:p>
            <w:pPr>
              <w:ind w:left="220"/>
              <w:spacing w:after="0" w:line="156" w:lineRule="exact"/>
              <w:rPr>
                <w:sz w:val="20"/>
                <w:szCs w:val="20"/>
                <w:color w:val="auto"/>
              </w:rPr>
            </w:pPr>
            <w:r>
              <w:rPr>
                <w:rFonts w:ascii="Arial" w:cs="Arial" w:eastAsia="Arial" w:hAnsi="Arial"/>
                <w:sz w:val="15"/>
                <w:szCs w:val="15"/>
                <w:color w:val="auto"/>
              </w:rPr>
              <w:t>Restructuring costs, lease impairment expense</w:t>
            </w:r>
          </w:p>
        </w:tc>
        <w:tc>
          <w:tcPr>
            <w:tcW w:w="320" w:type="dxa"/>
            <w:vAlign w:val="bottom"/>
          </w:tcPr>
          <w:p>
            <w:pPr>
              <w:spacing w:after="0"/>
              <w:rPr>
                <w:sz w:val="13"/>
                <w:szCs w:val="13"/>
                <w:color w:val="auto"/>
              </w:rPr>
            </w:pP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2,457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vMerge w:val="restart"/>
          </w:tcPr>
          <w:p>
            <w:pPr>
              <w:jc w:val="right"/>
              <w:ind w:right="3"/>
              <w:spacing w:after="0"/>
              <w:rPr>
                <w:sz w:val="20"/>
                <w:szCs w:val="20"/>
                <w:color w:val="auto"/>
              </w:rPr>
            </w:pPr>
            <w:r>
              <w:rPr>
                <w:rFonts w:ascii="Arial" w:cs="Arial" w:eastAsia="Arial" w:hAnsi="Arial"/>
                <w:sz w:val="15"/>
                <w:szCs w:val="15"/>
                <w:color w:val="auto"/>
              </w:rPr>
              <w:t>168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14,284</w:t>
            </w:r>
          </w:p>
        </w:tc>
        <w:tc>
          <w:tcPr>
            <w:tcW w:w="0" w:type="dxa"/>
            <w:vAlign w:val="bottom"/>
          </w:tcPr>
          <w:p>
            <w:pPr>
              <w:spacing w:after="0"/>
              <w:rPr>
                <w:sz w:val="1"/>
                <w:szCs w:val="1"/>
                <w:color w:val="auto"/>
              </w:rPr>
            </w:pPr>
          </w:p>
        </w:tc>
      </w:tr>
      <w:tr>
        <w:trPr>
          <w:trHeight w:val="205"/>
        </w:trPr>
        <w:tc>
          <w:tcPr>
            <w:tcW w:w="3700" w:type="dxa"/>
            <w:vAlign w:val="bottom"/>
          </w:tcPr>
          <w:p>
            <w:pPr>
              <w:ind w:left="220"/>
              <w:spacing w:after="0"/>
              <w:rPr>
                <w:sz w:val="20"/>
                <w:szCs w:val="20"/>
                <w:color w:val="auto"/>
              </w:rPr>
            </w:pPr>
            <w:r>
              <w:rPr>
                <w:rFonts w:ascii="Arial" w:cs="Arial" w:eastAsia="Arial" w:hAnsi="Arial"/>
                <w:sz w:val="15"/>
                <w:szCs w:val="15"/>
                <w:color w:val="auto"/>
              </w:rPr>
              <w:t>and other related charges</w:t>
            </w:r>
          </w:p>
        </w:tc>
        <w:tc>
          <w:tcPr>
            <w:tcW w:w="32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20" w:type="dxa"/>
            <w:vAlign w:val="bottom"/>
            <w:shd w:val="clear" w:color="auto" w:fill="DBDBDB"/>
          </w:tcPr>
          <w:p>
            <w:pPr>
              <w:spacing w:after="0"/>
              <w:rPr>
                <w:sz w:val="18"/>
                <w:szCs w:val="18"/>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303</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205"/>
        </w:trPr>
        <w:tc>
          <w:tcPr>
            <w:tcW w:w="370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3,902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8,242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13,182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23,206</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7,180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6,157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22,628</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14,305</w:t>
            </w:r>
          </w:p>
        </w:tc>
        <w:tc>
          <w:tcPr>
            <w:tcW w:w="0" w:type="dxa"/>
            <w:vAlign w:val="bottom"/>
          </w:tcPr>
          <w:p>
            <w:pPr>
              <w:spacing w:after="0"/>
              <w:rPr>
                <w:sz w:val="1"/>
                <w:szCs w:val="1"/>
                <w:color w:val="auto"/>
              </w:rPr>
            </w:pPr>
          </w:p>
        </w:tc>
      </w:tr>
      <w:tr>
        <w:trPr>
          <w:trHeight w:val="205"/>
        </w:trPr>
        <w:tc>
          <w:tcPr>
            <w:tcW w:w="37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1,106</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3,518</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1,393</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251,339</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179,203</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652,529</w:t>
            </w:r>
          </w:p>
        </w:tc>
        <w:tc>
          <w:tcPr>
            <w:tcW w:w="8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499,359</w:t>
            </w: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Included in restructuring costs for the three and nine months ended September 30, 2021 was expense of approximately $1.4 million and $7.2 million, respectively, recognized as a result of the modification of certain equity awards associated with the Transition, Separation and Release Agreement entered into on February 25, 2021 with the Company's former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1D2758"/>
        </w:rPr>
        <w:t>NOTE 19 - Earnings Per Share</w:t>
      </w:r>
    </w:p>
    <w:p>
      <w:pPr>
        <w:spacing w:after="0" w:line="12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reconciles the weighted average shares outstanding for the basic calculation to the weighted average shares outstanding for the diluted calculation: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2640" w:type="dxa"/>
            <w:vAlign w:val="bottom"/>
            <w:gridSpan w:val="5"/>
            <w:shd w:val="clear" w:color="auto" w:fill="1D2758"/>
          </w:tcPr>
          <w:p>
            <w:pPr>
              <w:ind w:left="360"/>
              <w:spacing w:after="0"/>
              <w:rPr>
                <w:sz w:val="20"/>
                <w:szCs w:val="20"/>
                <w:color w:val="auto"/>
              </w:rPr>
            </w:pPr>
            <w:r>
              <w:rPr>
                <w:rFonts w:ascii="Arial" w:cs="Arial" w:eastAsia="Arial" w:hAnsi="Arial"/>
                <w:sz w:val="15"/>
                <w:szCs w:val="15"/>
                <w:b w:val="1"/>
                <w:bCs w:val="1"/>
                <w:color w:val="FFFFFF"/>
              </w:rPr>
              <w:t>Three Months Ended</w:t>
            </w:r>
          </w:p>
        </w:tc>
        <w:tc>
          <w:tcPr>
            <w:tcW w:w="320" w:type="dxa"/>
            <w:vAlign w:val="bottom"/>
            <w:shd w:val="clear" w:color="auto" w:fill="1D2758"/>
          </w:tcPr>
          <w:p>
            <w:pPr>
              <w:spacing w:after="0"/>
              <w:rPr>
                <w:sz w:val="17"/>
                <w:szCs w:val="17"/>
                <w:color w:val="auto"/>
              </w:rPr>
            </w:pPr>
          </w:p>
        </w:tc>
        <w:tc>
          <w:tcPr>
            <w:tcW w:w="2560" w:type="dxa"/>
            <w:vAlign w:val="bottom"/>
            <w:gridSpan w:val="4"/>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Nine Months Ended</w:t>
            </w:r>
          </w:p>
        </w:tc>
      </w:tr>
      <w:tr>
        <w:trPr>
          <w:trHeight w:val="205"/>
        </w:trPr>
        <w:tc>
          <w:tcPr>
            <w:tcW w:w="540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6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8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6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September 30,</w:t>
            </w:r>
          </w:p>
        </w:tc>
        <w:tc>
          <w:tcPr>
            <w:tcW w:w="880" w:type="dxa"/>
            <w:vAlign w:val="bottom"/>
            <w:shd w:val="clear" w:color="auto" w:fill="1D2758"/>
          </w:tcPr>
          <w:p>
            <w:pPr>
              <w:spacing w:after="0"/>
              <w:rPr>
                <w:sz w:val="17"/>
                <w:szCs w:val="17"/>
                <w:color w:val="auto"/>
              </w:rPr>
            </w:pPr>
          </w:p>
        </w:tc>
      </w:tr>
      <w:tr>
        <w:trPr>
          <w:trHeight w:val="208"/>
        </w:trPr>
        <w:tc>
          <w:tcPr>
            <w:tcW w:w="54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88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88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5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r>
      <w:tr>
        <w:trPr>
          <w:trHeight w:val="205"/>
        </w:trPr>
        <w:tc>
          <w:tcPr>
            <w:tcW w:w="540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85,728</w:t>
            </w:r>
          </w:p>
        </w:tc>
        <w:tc>
          <w:tcPr>
            <w:tcW w:w="80" w:type="dxa"/>
            <w:vAlign w:val="bottom"/>
          </w:tcPr>
          <w:p>
            <w:pPr>
              <w:spacing w:after="0"/>
              <w:rPr>
                <w:sz w:val="17"/>
                <w:szCs w:val="17"/>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57,113</w:t>
            </w:r>
          </w:p>
        </w:tc>
        <w:tc>
          <w:tcPr>
            <w:tcW w:w="80" w:type="dxa"/>
            <w:vAlign w:val="bottom"/>
          </w:tcPr>
          <w:p>
            <w:pPr>
              <w:spacing w:after="0"/>
              <w:rPr>
                <w:sz w:val="17"/>
                <w:szCs w:val="17"/>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200,099</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75,278</w:t>
            </w:r>
          </w:p>
        </w:tc>
      </w:tr>
      <w:tr>
        <w:trPr>
          <w:trHeight w:val="206"/>
        </w:trPr>
        <w:tc>
          <w:tcPr>
            <w:tcW w:w="5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42,865</w:t>
            </w:r>
          </w:p>
        </w:tc>
        <w:tc>
          <w:tcPr>
            <w:tcW w:w="8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3,990</w:t>
            </w:r>
          </w:p>
        </w:tc>
        <w:tc>
          <w:tcPr>
            <w:tcW w:w="80" w:type="dxa"/>
            <w:vAlign w:val="bottom"/>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53,041</w:t>
            </w:r>
          </w:p>
        </w:tc>
        <w:tc>
          <w:tcPr>
            <w:tcW w:w="10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10,643</w:t>
            </w:r>
          </w:p>
        </w:tc>
      </w:tr>
      <w:tr>
        <w:trPr>
          <w:trHeight w:val="200"/>
        </w:trPr>
        <w:tc>
          <w:tcPr>
            <w:tcW w:w="54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128,593</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61,103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253,140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85,921</w:t>
            </w:r>
          </w:p>
        </w:tc>
      </w:tr>
      <w:tr>
        <w:trPr>
          <w:trHeight w:val="20"/>
        </w:trPr>
        <w:tc>
          <w:tcPr>
            <w:tcW w:w="54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54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r>
      <w:tr>
        <w:trPr>
          <w:trHeight w:val="205"/>
        </w:trPr>
        <w:tc>
          <w:tcPr>
            <w:tcW w:w="540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5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213,637</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225,998</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219,312</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227,558</w:t>
            </w:r>
          </w:p>
        </w:tc>
      </w:tr>
      <w:tr>
        <w:trPr>
          <w:trHeight w:val="205"/>
        </w:trPr>
        <w:tc>
          <w:tcPr>
            <w:tcW w:w="5400" w:type="dxa"/>
            <w:vAlign w:val="bottom"/>
          </w:tcPr>
          <w:p>
            <w:pPr>
              <w:ind w:left="220"/>
              <w:spacing w:after="0"/>
              <w:rPr>
                <w:sz w:val="20"/>
                <w:szCs w:val="20"/>
                <w:color w:val="auto"/>
              </w:rPr>
            </w:pPr>
            <w:r>
              <w:rPr>
                <w:rFonts w:ascii="Arial" w:cs="Arial" w:eastAsia="Arial" w:hAnsi="Arial"/>
                <w:sz w:val="15"/>
                <w:szCs w:val="15"/>
                <w:color w:val="auto"/>
              </w:rPr>
              <w:t>Dilutive effect of shares outstanding</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5400" w:type="dxa"/>
            <w:vAlign w:val="bottom"/>
            <w:shd w:val="clear" w:color="auto" w:fill="DBDBDB"/>
          </w:tcPr>
          <w:p>
            <w:pPr>
              <w:ind w:left="320"/>
              <w:spacing w:after="0"/>
              <w:rPr>
                <w:sz w:val="20"/>
                <w:szCs w:val="20"/>
                <w:color w:val="auto"/>
              </w:rPr>
            </w:pPr>
            <w:r>
              <w:rPr>
                <w:rFonts w:ascii="Arial" w:cs="Arial" w:eastAsia="Arial" w:hAnsi="Arial"/>
                <w:sz w:val="15"/>
                <w:szCs w:val="15"/>
                <w:color w:val="auto"/>
              </w:rPr>
              <w:t>Warrants</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1,812</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3,722</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1,816</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4,112</w:t>
            </w:r>
          </w:p>
        </w:tc>
      </w:tr>
      <w:tr>
        <w:trPr>
          <w:trHeight w:val="205"/>
        </w:trPr>
        <w:tc>
          <w:tcPr>
            <w:tcW w:w="5400" w:type="dxa"/>
            <w:vAlign w:val="bottom"/>
          </w:tcPr>
          <w:p>
            <w:pPr>
              <w:ind w:left="320"/>
              <w:spacing w:after="0"/>
              <w:rPr>
                <w:sz w:val="20"/>
                <w:szCs w:val="20"/>
                <w:color w:val="auto"/>
              </w:rPr>
            </w:pPr>
            <w:r>
              <w:rPr>
                <w:rFonts w:ascii="Arial" w:cs="Arial" w:eastAsia="Arial" w:hAnsi="Arial"/>
                <w:sz w:val="15"/>
                <w:szCs w:val="15"/>
                <w:color w:val="auto"/>
              </w:rPr>
              <w:t>RSAs</w:t>
            </w:r>
          </w:p>
        </w:tc>
        <w:tc>
          <w:tcPr>
            <w:tcW w:w="3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5400" w:type="dxa"/>
            <w:vAlign w:val="bottom"/>
            <w:shd w:val="clear" w:color="auto" w:fill="DBDBDB"/>
          </w:tcPr>
          <w:p>
            <w:pPr>
              <w:ind w:left="320"/>
              <w:spacing w:after="0"/>
              <w:rPr>
                <w:sz w:val="20"/>
                <w:szCs w:val="20"/>
                <w:color w:val="auto"/>
              </w:rPr>
            </w:pPr>
            <w:r>
              <w:rPr>
                <w:rFonts w:ascii="Arial" w:cs="Arial" w:eastAsia="Arial" w:hAnsi="Arial"/>
                <w:sz w:val="15"/>
                <w:szCs w:val="15"/>
                <w:color w:val="auto"/>
              </w:rPr>
              <w:t>Time-based RSUs</w:t>
            </w: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355</w:t>
            </w: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476</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382</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573</w:t>
            </w:r>
          </w:p>
        </w:tc>
      </w:tr>
      <w:tr>
        <w:trPr>
          <w:trHeight w:val="205"/>
        </w:trPr>
        <w:tc>
          <w:tcPr>
            <w:tcW w:w="5400" w:type="dxa"/>
            <w:vAlign w:val="bottom"/>
          </w:tcPr>
          <w:p>
            <w:pPr>
              <w:ind w:left="320"/>
              <w:spacing w:after="0"/>
              <w:rPr>
                <w:sz w:val="20"/>
                <w:szCs w:val="20"/>
                <w:color w:val="auto"/>
              </w:rPr>
            </w:pPr>
            <w:r>
              <w:rPr>
                <w:rFonts w:ascii="Arial" w:cs="Arial" w:eastAsia="Arial" w:hAnsi="Arial"/>
                <w:sz w:val="15"/>
                <w:szCs w:val="15"/>
                <w:color w:val="auto"/>
              </w:rPr>
              <w:t>Performance-based RSUs</w:t>
            </w:r>
          </w:p>
        </w:tc>
        <w:tc>
          <w:tcPr>
            <w:tcW w:w="32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1,067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1,279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751</w:t>
            </w:r>
          </w:p>
        </w:tc>
      </w:tr>
      <w:tr>
        <w:trPr>
          <w:trHeight w:val="206"/>
        </w:trPr>
        <w:tc>
          <w:tcPr>
            <w:tcW w:w="5400" w:type="dxa"/>
            <w:vAlign w:val="bottom"/>
            <w:shd w:val="clear" w:color="auto" w:fill="DBDBDB"/>
          </w:tcPr>
          <w:p>
            <w:pPr>
              <w:ind w:left="320"/>
              <w:spacing w:after="0"/>
              <w:rPr>
                <w:sz w:val="20"/>
                <w:szCs w:val="20"/>
                <w:color w:val="auto"/>
              </w:rPr>
            </w:pPr>
            <w:r>
              <w:rPr>
                <w:rFonts w:ascii="Arial" w:cs="Arial" w:eastAsia="Arial" w:hAnsi="Arial"/>
                <w:sz w:val="15"/>
                <w:szCs w:val="15"/>
                <w:color w:val="auto"/>
              </w:rPr>
              <w:t>Stock Options</w:t>
            </w: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1,049</w:t>
            </w:r>
          </w:p>
        </w:tc>
        <w:tc>
          <w:tcPr>
            <w:tcW w:w="80" w:type="dxa"/>
            <w:vAlign w:val="bottom"/>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1,050</w:t>
            </w:r>
          </w:p>
        </w:tc>
        <w:tc>
          <w:tcPr>
            <w:tcW w:w="80" w:type="dxa"/>
            <w:vAlign w:val="bottom"/>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1,127</w:t>
            </w:r>
          </w:p>
        </w:tc>
        <w:tc>
          <w:tcPr>
            <w:tcW w:w="10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1,066</w:t>
            </w:r>
          </w:p>
        </w:tc>
      </w:tr>
      <w:tr>
        <w:trPr>
          <w:trHeight w:val="200"/>
        </w:trPr>
        <w:tc>
          <w:tcPr>
            <w:tcW w:w="540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217,928</w:t>
            </w: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231,868</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223,933</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234,085</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For the three and nine months ended September 30, 2022, 555,790 and 788,183 shares of Performance-Based RSUs, respectively, were excluded from the computation of diluted EPS because their effect would have been anti-dilutive. For the three and nine months ended September 30, 2021, no warrants, shares or options were excluded from the computation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31" w:name="page32"/>
    <w:bookmarkEnd w:id="31"/>
    <w:p>
      <w:pPr>
        <w:ind w:left="1740" w:right="12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Management’s Discussion and Analysis of Financial Condition and Results of Operations</w:t>
      </w:r>
    </w:p>
    <w:p>
      <w:pPr>
        <w:jc w:val="both"/>
        <w:ind w:firstLine="619"/>
        <w:spacing w:after="0" w:line="277"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Mobile Mini Holdings Corp. ("WillScot Mobile Mini"),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nine months ended September 30, 2022 or prior periods.</w:t>
      </w:r>
    </w:p>
    <w:p>
      <w:pPr>
        <w:spacing w:after="0" w:line="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 and Outlook</w:t>
      </w:r>
    </w:p>
    <w:p>
      <w:pPr>
        <w:spacing w:after="0" w:line="11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As of September 30, 2022, our branch network included approximately 260 branch locations and additional drop lots to service over 85,000 customers. We offer our customers an extensive selection of “Ready to Work” modular space and portable storage solutions with over 167,000 modular space units and over 239,000 portable storage units in our fleet, representing over 130 million square feet of relocatable space.</w:t>
      </w:r>
    </w:p>
    <w:p>
      <w:pPr>
        <w:spacing w:after="0" w:line="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Furthermore, given that our customers value flexibility, they consistently extend their leases or renew on a month-to-month basis such that the average effective duration of our modular space and portable storage lease portfolio, excluding seasonal portable storage units, is approximately 30 months. We complement our core leasing business by selling both new and used units, allowing us to leverage scale, achieve purchasing benefits and redeploy capital employed in our lease fleet.</w:t>
      </w:r>
    </w:p>
    <w:p>
      <w:pPr>
        <w:spacing w:after="0" w:line="1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as we did in 2020 and 2021 to service emerging demand in the healthcare and government sectors related to COVID-19, as well as expanded space requirements related to social distancing. We track several market leading indicators to predict demand, including those related to our two largest end markets, the commercial and industrial segment and the construction segment, which collectively accounted for approximately 47% and 41% of our revenues, respectively, for the three months ended September 30, 2022.</w:t>
      </w:r>
    </w:p>
    <w:p>
      <w:pPr>
        <w:spacing w:after="0" w:line="9"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mergers and acquisitions, delivering “Ready to Work” solutions to our customers with value added products and services ("VAPS"), and on continually improving the overall customer experience.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Divestiture</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 xml:space="preserve">On September 30, 2022, we sold our Tank and Pump Solutions ("Tank and Pump") business for $319.5 million. Proceeds from the sale will be used to support ongoing reinvestment in our core Modular and Storage operating segments and other capital allocation priorities. In accordance with ASC 205-20, </w:t>
      </w:r>
      <w:r>
        <w:rPr>
          <w:rFonts w:ascii="Arial" w:cs="Arial" w:eastAsia="Arial" w:hAnsi="Arial"/>
          <w:sz w:val="15"/>
          <w:szCs w:val="15"/>
          <w:i w:val="1"/>
          <w:iCs w:val="1"/>
          <w:color w:val="auto"/>
        </w:rPr>
        <w:t>Presentation of Financial Statements - Discontinued Operations</w:t>
      </w:r>
      <w:r>
        <w:rPr>
          <w:rFonts w:ascii="Arial" w:cs="Arial" w:eastAsia="Arial" w:hAnsi="Arial"/>
          <w:sz w:val="15"/>
          <w:szCs w:val="15"/>
          <w:color w:val="auto"/>
        </w:rPr>
        <w:t>, we determined that the criteria for discontinued operations presentation were met during the third</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2022 and results for the three and nine months ended September 30, 2022 and 2021 for Tank and Pump are reported in income from discontinued operations within the condensed consolidated statements of operations and the carrying value of the divested business' assets and liabilities are presented within assets and liabilities held for sale on the condensed consolidated balance sheet as of December 31, 2021. See Note 3 to the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2" w:name="page33"/>
    <w:bookmarkEnd w:id="32"/>
    <w:p>
      <w:pPr>
        <w:jc w:val="both"/>
        <w:ind w:firstLine="619"/>
        <w:spacing w:after="0" w:line="282" w:lineRule="auto"/>
        <w:rPr>
          <w:sz w:val="20"/>
          <w:szCs w:val="20"/>
          <w:color w:val="auto"/>
        </w:rPr>
      </w:pPr>
      <w:r>
        <w:rPr>
          <w:rFonts w:ascii="Arial" w:cs="Arial" w:eastAsia="Arial" w:hAnsi="Arial"/>
          <w:sz w:val="15"/>
          <w:szCs w:val="15"/>
          <w:color w:val="auto"/>
        </w:rPr>
        <w:t>As part of the divestiture, the Company entered into a customary transition services agreement with the buyer to assist them in the transition of certain functions, including, but not limited to, information technology, accounting and human resources for a period of six months with an option for the buyer to extend the agreement for a period of up to twelve months. There will be no significant continuing involvement with the Tank and Pump business after its disposal.</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Inflation and Supply Chain Issues</w:t>
      </w:r>
    </w:p>
    <w:p>
      <w:pPr>
        <w:spacing w:after="0" w:line="12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Similar to many other organizations, we face inflationary pressures across most of our input costs such as building materials, labor, transportation and fuel. Inflation has contributed to increased capital costs for both new units as well as for refurbishment of our existing units. However, given our scale and our strong rate performance, we believe we have been able to navigate the inflationary environment well and have consistently driven margin improvements during this period of rising costs. Additionally, given the majority of our revenue is derived from leasing our existing lease fleet units to customers and our material purchases to maintain these units consists primarily of general building materials, we have not experienced significant supply chain issues to date.</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Asset Acquisitions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third quarter of 2022, we acquired certain assets and liabilities of several entities, which consisted primarily of approximately 7,600 storage units and 3,000 modular units for $104.7 million in cash. When combined with other recent acquisitions over the past four quarters, we have acquired assets and liabilities from 13 regional and local storage and modular companies, consisting primarily of 16,800 storage units and 9,700 modular units.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Share and Warrant Repurchases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nine months ended September 30, 2022, we repurchased and cancelled 33,965 of the 2018 Warrants for $0.6 million. In addition, for the nine months ended September 30, 2022, 1,037,379 of the 2018 Warrants were exercised on a cashless basis, resulting in the issuance of 631,863 shares of common stock. At September 30, 2022, 3,006,829 of the 2018 Warrants were outstanding.</w:t>
      </w:r>
    </w:p>
    <w:p>
      <w:pPr>
        <w:spacing w:after="0" w:line="1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During the nine months ended September 30, 2022, we repurchased a total of 14,575,160 shares of Common Stock and stock equivalents for $524.4 million, including the repurchased warrants. As of September 30, 2022, we had $863.3 million remaining of a $1.0 billion share repurchase authorization under our stock repurchase program. Given our growth strategy and the predictability of our free cash flow, we believe that repurchases will be a reoccurring capital allocation priority.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Highlights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For the three months ended September 30, 2022, as compared to the three months ended September 30, 2021, unless otherwise noted, key drivers of our financial performance included:</w:t>
      </w:r>
    </w:p>
    <w:p>
      <w:pPr>
        <w:spacing w:after="0" w:line="29" w:lineRule="exact"/>
        <w:rPr>
          <w:sz w:val="20"/>
          <w:szCs w:val="20"/>
          <w:color w:val="auto"/>
        </w:rPr>
      </w:pPr>
    </w:p>
    <w:p>
      <w:pPr>
        <w:jc w:val="both"/>
        <w:ind w:left="620" w:hanging="307"/>
        <w:spacing w:after="0" w:line="273" w:lineRule="auto"/>
        <w:tabs>
          <w:tab w:leader="none" w:pos="609"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color w:val="auto"/>
        </w:rPr>
        <w:t>Total revenues from continuing operations increased by $143.2 million, or 31.1%, attributable to organic revenue growth levers in the business and due to the impact of acquisitions. Leasing revenue increased $104.9 million, or 30.6%, and delivery and installation revenue increased $40.9 million, or 44.5%. Additionally, rental unit sales increased $2.7 million, or 24.1%, and new unit sales revenue decreased $5.5 million, or 35.7%. We estimate that recent acquisitions completed over the past four quarters contributed approximately $22.4 million to total revenues for the three months ended September 30, 2022.</w:t>
      </w:r>
    </w:p>
    <w:p>
      <w:pPr>
        <w:spacing w:after="0" w:line="246" w:lineRule="exact"/>
        <w:rPr>
          <w:rFonts w:ascii="Arial" w:cs="Arial" w:eastAsia="Arial" w:hAnsi="Arial"/>
          <w:sz w:val="15"/>
          <w:szCs w:val="15"/>
          <w:b w:val="1"/>
          <w:bCs w:val="1"/>
          <w:i w:val="1"/>
          <w:iCs w:val="1"/>
          <w:color w:val="auto"/>
        </w:rPr>
      </w:pPr>
    </w:p>
    <w:p>
      <w:pPr>
        <w:ind w:left="62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Key leasing revenue drivers included:</w:t>
      </w:r>
    </w:p>
    <w:p>
      <w:pPr>
        <w:spacing w:after="0" w:line="111" w:lineRule="exact"/>
        <w:rPr>
          <w:rFonts w:ascii="Arial" w:cs="Arial" w:eastAsia="Arial" w:hAnsi="Arial"/>
          <w:sz w:val="15"/>
          <w:szCs w:val="15"/>
          <w:b w:val="1"/>
          <w:bCs w:val="1"/>
          <w:i w:val="1"/>
          <w:iCs w:val="1"/>
          <w:color w:val="auto"/>
        </w:rPr>
      </w:pPr>
    </w:p>
    <w:p>
      <w:pPr>
        <w:ind w:left="1240" w:hanging="309"/>
        <w:spacing w:after="0" w:line="282"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portable storage units on rent increased 41,048 units, or 25.1%, and average modular space units on rent increased 4,153 units, or 3.8%, across all segments. Approximately 53% of the increase in total average units on rent was driven by units on rent added through recent acquisitions and the other 47% was driven by increases in organic delivery activity and lower return activity during 2021 and 2022.</w:t>
      </w:r>
    </w:p>
    <w:p>
      <w:pPr>
        <w:spacing w:after="0" w:line="62" w:lineRule="exact"/>
        <w:rPr>
          <w:rFonts w:ascii="Arial" w:cs="Arial" w:eastAsia="Arial" w:hAnsi="Arial"/>
          <w:sz w:val="15"/>
          <w:szCs w:val="15"/>
          <w:b w:val="1"/>
          <w:bCs w:val="1"/>
          <w:i w:val="1"/>
          <w:iCs w:val="1"/>
          <w:color w:val="auto"/>
        </w:rPr>
      </w:pPr>
    </w:p>
    <w:p>
      <w:pPr>
        <w:ind w:left="1240" w:hanging="309"/>
        <w:spacing w:after="0" w:line="271"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modular space monthly rental rate increased $140, or 18.3%, to $907 driven by strong pricing performance across the NA Modular and NA Storage segments. Average modular space monthly rental rates increased by $157, or 18.8%, in the NA Modular segment and by $144, or 23.9%, in the NA Storage segment. Average modular space monthly rental rates decreased by $63, or 13.9%, in the UK Storage segment due to the weakening of the British Pound and were up £1, or 0.3%, in local currency.</w:t>
      </w:r>
    </w:p>
    <w:p>
      <w:pPr>
        <w:spacing w:after="0" w:line="33" w:lineRule="exact"/>
        <w:rPr>
          <w:rFonts w:ascii="Arial" w:cs="Arial" w:eastAsia="Arial" w:hAnsi="Arial"/>
          <w:sz w:val="15"/>
          <w:szCs w:val="15"/>
          <w:b w:val="1"/>
          <w:bCs w:val="1"/>
          <w:i w:val="1"/>
          <w:iCs w:val="1"/>
          <w:color w:val="auto"/>
        </w:rPr>
      </w:pPr>
    </w:p>
    <w:p>
      <w:pPr>
        <w:ind w:left="1240" w:hanging="309"/>
        <w:spacing w:after="0" w:line="266" w:lineRule="auto"/>
        <w:rPr>
          <w:rFonts w:ascii="Arial" w:cs="Arial" w:eastAsia="Arial" w:hAnsi="Arial"/>
          <w:sz w:val="15"/>
          <w:szCs w:val="15"/>
          <w:b w:val="1"/>
          <w:bCs w:val="1"/>
          <w:i w:val="1"/>
          <w:iCs w:val="1"/>
          <w:color w:val="auto"/>
        </w:rPr>
      </w:pPr>
      <w:r>
        <w:rPr>
          <w:rFonts w:ascii="Calibri" w:cs="Calibri" w:eastAsia="Calibri" w:hAnsi="Calibri"/>
          <w:sz w:val="19"/>
          <w:szCs w:val="19"/>
          <w:color w:val="auto"/>
        </w:rPr>
        <w:t xml:space="preserve">– </w:t>
      </w:r>
      <w:r>
        <w:rPr>
          <w:rFonts w:ascii="Arial" w:cs="Arial" w:eastAsia="Arial" w:hAnsi="Arial"/>
          <w:sz w:val="15"/>
          <w:szCs w:val="15"/>
          <w:color w:val="auto"/>
        </w:rPr>
        <w:t>Average portable storage monthly rental rate increased $37, or 25.5%, to $182 driven by increased pricing as a result of our price management</w:t>
      </w:r>
      <w:r>
        <w:rPr>
          <w:rFonts w:ascii="Calibri" w:cs="Calibri" w:eastAsia="Calibri" w:hAnsi="Calibri"/>
          <w:sz w:val="19"/>
          <w:szCs w:val="19"/>
          <w:color w:val="auto"/>
        </w:rPr>
        <w:t xml:space="preserve"> </w:t>
      </w:r>
      <w:r>
        <w:rPr>
          <w:rFonts w:ascii="Arial" w:cs="Arial" w:eastAsia="Arial" w:hAnsi="Arial"/>
          <w:sz w:val="15"/>
          <w:szCs w:val="15"/>
          <w:color w:val="auto"/>
        </w:rPr>
        <w:t>tools and processes, further supported by high utilization, and by an acceleration earlier into the third quarter of our seasonal retail business.</w:t>
      </w:r>
    </w:p>
    <w:p>
      <w:pPr>
        <w:spacing w:after="0" w:line="67" w:lineRule="exact"/>
        <w:rPr>
          <w:rFonts w:ascii="Arial" w:cs="Arial" w:eastAsia="Arial" w:hAnsi="Arial"/>
          <w:sz w:val="15"/>
          <w:szCs w:val="15"/>
          <w:b w:val="1"/>
          <w:bCs w:val="1"/>
          <w:i w:val="1"/>
          <w:iCs w:val="1"/>
          <w:color w:val="auto"/>
        </w:rPr>
      </w:pPr>
    </w:p>
    <w:p>
      <w:pPr>
        <w:ind w:left="1240" w:hanging="309"/>
        <w:spacing w:after="0" w:line="282"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utilization for portable storage units increased 500 basis points ("bps") to 88.9% as compared to the same period in 2021 driven by increased demand in 2022 including the acceleration earlier into the third quarter of our seasonal retail business as compared to the same period in 2021. Average utilization for modular space units decreased 120 bps to 68.9%.</w:t>
      </w:r>
    </w:p>
    <w:p>
      <w:pPr>
        <w:spacing w:after="0" w:line="49" w:lineRule="exact"/>
        <w:rPr>
          <w:rFonts w:ascii="Arial" w:cs="Arial" w:eastAsia="Arial" w:hAnsi="Arial"/>
          <w:sz w:val="15"/>
          <w:szCs w:val="15"/>
          <w:b w:val="1"/>
          <w:bCs w:val="1"/>
          <w:i w:val="1"/>
          <w:iCs w:val="1"/>
          <w:color w:val="auto"/>
        </w:rPr>
      </w:pPr>
    </w:p>
    <w:p>
      <w:pPr>
        <w:ind w:left="620" w:hanging="307"/>
        <w:spacing w:after="0" w:line="294" w:lineRule="auto"/>
        <w:tabs>
          <w:tab w:leader="none" w:pos="609" w:val="left"/>
        </w:tabs>
        <w:numPr>
          <w:ilvl w:val="0"/>
          <w:numId w:val="8"/>
        </w:numPr>
        <w:rPr>
          <w:rFonts w:ascii="Arial" w:cs="Arial" w:eastAsia="Arial" w:hAnsi="Arial"/>
          <w:sz w:val="15"/>
          <w:szCs w:val="15"/>
          <w:b w:val="1"/>
          <w:bCs w:val="1"/>
          <w:i w:val="1"/>
          <w:iCs w:val="1"/>
          <w:color w:val="1D2758"/>
        </w:rPr>
      </w:pPr>
      <w:r>
        <w:rPr>
          <w:rFonts w:ascii="Arial" w:cs="Arial" w:eastAsia="Arial" w:hAnsi="Arial"/>
          <w:sz w:val="15"/>
          <w:szCs w:val="15"/>
          <w:color w:val="auto"/>
        </w:rPr>
        <w:t>NA Modular segment revenue, which represented 62.1% of consolidated revenue for the three months ended September 30, 2022, increased $76.3 million, or 25.5%, to $375.4 million. The increase was driven by our 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3" w:name="page34"/>
    <w:bookmarkEnd w:id="33"/>
    <w:p>
      <w:pPr>
        <w:jc w:val="both"/>
        <w:ind w:left="307"/>
        <w:spacing w:after="0" w:line="271" w:lineRule="auto"/>
        <w:rPr>
          <w:sz w:val="20"/>
          <w:szCs w:val="20"/>
          <w:color w:val="auto"/>
        </w:rPr>
      </w:pPr>
      <w:r>
        <w:rPr>
          <w:rFonts w:ascii="Arial" w:cs="Arial" w:eastAsia="Arial" w:hAnsi="Arial"/>
          <w:sz w:val="15"/>
          <w:szCs w:val="15"/>
          <w:color w:val="auto"/>
        </w:rPr>
        <w:t>leasing revenue, which grew $51.6 million, or 23.5%, due to continued growth of pricing and value added products. Delivery and installation revenues increased $26.4 million, or 45.5%, driven by increased pricing on new deliveries and returns and increased delivery volumes as compared to 2021. Rental unit sales increased $4.0 million, or 51.3%, and new unit sales decreased $5.6 million, or 41.5%. NA Modular segment revenue drivers for the three months ended September 30, 2022 included:</w:t>
      </w:r>
    </w:p>
    <w:p>
      <w:pPr>
        <w:spacing w:after="0" w:line="72" w:lineRule="exact"/>
        <w:rPr>
          <w:sz w:val="20"/>
          <w:szCs w:val="20"/>
          <w:color w:val="auto"/>
        </w:rPr>
      </w:pPr>
    </w:p>
    <w:p>
      <w:pPr>
        <w:ind w:left="927" w:hanging="309"/>
        <w:spacing w:after="0" w:line="294" w:lineRule="auto"/>
        <w:rPr>
          <w:sz w:val="20"/>
          <w:szCs w:val="20"/>
          <w:color w:val="auto"/>
        </w:rPr>
      </w:pPr>
      <w:r>
        <w:rPr>
          <w:rFonts w:ascii="Arial" w:cs="Arial" w:eastAsia="Arial" w:hAnsi="Arial"/>
          <w:sz w:val="15"/>
          <w:szCs w:val="15"/>
          <w:color w:val="auto"/>
        </w:rPr>
        <w:t>– Modular space average monthly rental rate of $991 increased 18.8% year over year representing a continuation of our long-term price optimization initiative and VAPS penetration opportunities across our portfolio.</w:t>
      </w:r>
    </w:p>
    <w:p>
      <w:pPr>
        <w:spacing w:after="0" w:line="37" w:lineRule="exact"/>
        <w:rPr>
          <w:sz w:val="20"/>
          <w:szCs w:val="20"/>
          <w:color w:val="auto"/>
        </w:rPr>
      </w:pPr>
    </w:p>
    <w:p>
      <w:pPr>
        <w:ind w:left="627"/>
        <w:spacing w:after="0"/>
        <w:rPr>
          <w:sz w:val="20"/>
          <w:szCs w:val="20"/>
          <w:color w:val="auto"/>
        </w:rPr>
      </w:pPr>
      <w:r>
        <w:rPr>
          <w:rFonts w:ascii="Times New Roman" w:cs="Times New Roman" w:eastAsia="Times New Roman" w:hAnsi="Times New Roman"/>
          <w:sz w:val="15"/>
          <w:szCs w:val="15"/>
          <w:b w:val="1"/>
          <w:bCs w:val="1"/>
          <w:i w:val="1"/>
          <w:iCs w:val="1"/>
          <w:color w:val="1D2758"/>
        </w:rPr>
        <w:t xml:space="preserve">–   </w:t>
      </w:r>
      <w:r>
        <w:rPr>
          <w:rFonts w:ascii="Arial" w:cs="Arial" w:eastAsia="Arial" w:hAnsi="Arial"/>
          <w:sz w:val="15"/>
          <w:szCs w:val="15"/>
          <w:color w:val="000000"/>
        </w:rPr>
        <w:t>Average modular space units on rent increased 3,146, or 3.7%, year over year driven primarily by units on rent added through recent acquisitions.</w:t>
      </w:r>
    </w:p>
    <w:p>
      <w:pPr>
        <w:spacing w:after="0" w:line="127" w:lineRule="exact"/>
        <w:rPr>
          <w:sz w:val="20"/>
          <w:szCs w:val="20"/>
          <w:color w:val="auto"/>
        </w:rPr>
      </w:pPr>
    </w:p>
    <w:p>
      <w:pPr>
        <w:ind w:left="927" w:hanging="309"/>
        <w:spacing w:after="0" w:line="294" w:lineRule="auto"/>
        <w:rPr>
          <w:sz w:val="20"/>
          <w:szCs w:val="20"/>
          <w:color w:val="auto"/>
        </w:rPr>
      </w:pPr>
      <w:r>
        <w:rPr>
          <w:rFonts w:ascii="Arial" w:cs="Arial" w:eastAsia="Arial" w:hAnsi="Arial"/>
          <w:sz w:val="15"/>
          <w:szCs w:val="15"/>
          <w:color w:val="auto"/>
        </w:rPr>
        <w:t>– Average modular space monthly utilization increased 20 bps to 67.8% for the three months ended September 30, 2022, as compared to the three months ended September 30, 2021.</w:t>
      </w:r>
    </w:p>
    <w:p>
      <w:pPr>
        <w:spacing w:after="0" w:line="54" w:lineRule="exact"/>
        <w:rPr>
          <w:sz w:val="20"/>
          <w:szCs w:val="20"/>
          <w:color w:val="auto"/>
        </w:rPr>
      </w:pPr>
    </w:p>
    <w:p>
      <w:pPr>
        <w:jc w:val="both"/>
        <w:ind w:left="307" w:hanging="307"/>
        <w:spacing w:after="0" w:line="263" w:lineRule="auto"/>
        <w:tabs>
          <w:tab w:leader="none" w:pos="297" w:val="left"/>
        </w:tabs>
        <w:numPr>
          <w:ilvl w:val="0"/>
          <w:numId w:val="9"/>
        </w:numPr>
        <w:rPr>
          <w:rFonts w:ascii="Arial" w:cs="Arial" w:eastAsia="Arial" w:hAnsi="Arial"/>
          <w:sz w:val="15"/>
          <w:szCs w:val="15"/>
          <w:b w:val="1"/>
          <w:bCs w:val="1"/>
          <w:i w:val="1"/>
          <w:iCs w:val="1"/>
          <w:color w:val="1D2758"/>
        </w:rPr>
      </w:pPr>
      <w:r>
        <w:rPr>
          <w:rFonts w:ascii="Arial" w:cs="Arial" w:eastAsia="Arial" w:hAnsi="Arial"/>
          <w:sz w:val="15"/>
          <w:szCs w:val="15"/>
          <w:color w:val="auto"/>
        </w:rPr>
        <w:t>NA Storage segment revenue, which represented 33.5% of consolidated revenue for the three months ended September 30, 2022, increased $68.7 million, or 51.3%, to $202.6 million. The increase was driven by our core leasing revenue, which grew $55.4 million, or 54.7%, due to increased units on rent driven by significant increases in delivery activity during 2021 and 2022 as economic activity rebounded versus 2020, recent acquisition activity, and increased pricing and value added products. Delivery and installation revenues increased $14.3 million, or 50.5%, driven by increased demand for new project deliveries, and by increased pricing on new deliveries and returns as compared to 2021. Rental unit sales decreased $1.4 million, or 45.2%, and new unit sales increased $0.4 million, or 30.8%.</w:t>
      </w:r>
    </w:p>
    <w:p>
      <w:pPr>
        <w:spacing w:after="0" w:line="77" w:lineRule="exact"/>
        <w:rPr>
          <w:rFonts w:ascii="Arial" w:cs="Arial" w:eastAsia="Arial" w:hAnsi="Arial"/>
          <w:sz w:val="15"/>
          <w:szCs w:val="15"/>
          <w:b w:val="1"/>
          <w:bCs w:val="1"/>
          <w:i w:val="1"/>
          <w:iCs w:val="1"/>
          <w:color w:val="1D2758"/>
        </w:rPr>
      </w:pPr>
    </w:p>
    <w:p>
      <w:pPr>
        <w:ind w:left="307"/>
        <w:spacing w:after="0"/>
        <w:rPr>
          <w:rFonts w:ascii="Arial" w:cs="Arial" w:eastAsia="Arial" w:hAnsi="Arial"/>
          <w:sz w:val="15"/>
          <w:szCs w:val="15"/>
          <w:b w:val="1"/>
          <w:bCs w:val="1"/>
          <w:i w:val="1"/>
          <w:iCs w:val="1"/>
          <w:color w:val="1D2758"/>
        </w:rPr>
      </w:pPr>
      <w:r>
        <w:rPr>
          <w:rFonts w:ascii="Arial" w:cs="Arial" w:eastAsia="Arial" w:hAnsi="Arial"/>
          <w:sz w:val="15"/>
          <w:szCs w:val="15"/>
          <w:color w:val="auto"/>
        </w:rPr>
        <w:t>NA Storage segment revenue drivers for the three months ended September 30, 2022 included:</w:t>
      </w:r>
    </w:p>
    <w:p>
      <w:pPr>
        <w:spacing w:after="0" w:line="111" w:lineRule="exact"/>
        <w:rPr>
          <w:sz w:val="20"/>
          <w:szCs w:val="20"/>
          <w:color w:val="auto"/>
        </w:rPr>
      </w:pPr>
    </w:p>
    <w:p>
      <w:pPr>
        <w:jc w:val="both"/>
        <w:ind w:left="927" w:hanging="309"/>
        <w:spacing w:after="0" w:line="275" w:lineRule="auto"/>
        <w:tabs>
          <w:tab w:leader="none" w:pos="917" w:val="left"/>
        </w:tabs>
        <w:numPr>
          <w:ilvl w:val="1"/>
          <w:numId w:val="10"/>
        </w:numPr>
        <w:rPr>
          <w:rFonts w:ascii="Arial" w:cs="Arial" w:eastAsia="Arial" w:hAnsi="Arial"/>
          <w:sz w:val="15"/>
          <w:szCs w:val="15"/>
          <w:color w:val="auto"/>
        </w:rPr>
      </w:pPr>
      <w:r>
        <w:rPr>
          <w:rFonts w:ascii="Arial" w:cs="Arial" w:eastAsia="Arial" w:hAnsi="Arial"/>
          <w:sz w:val="15"/>
          <w:szCs w:val="15"/>
          <w:color w:val="auto"/>
        </w:rPr>
        <w:t>Portable storage average monthly rental rate of $197 increased 27.1% year over year as a result of our price management tools and processes, further supported by high utilization, and by an acceleration earlier into the third quarter of our seasonal retail business. Modular space average monthly rental rate of $746 increased 23.9% year over year as a result of price optimization and early benefits from increased VAPS penetration opportunities.</w:t>
      </w:r>
    </w:p>
    <w:p>
      <w:pPr>
        <w:spacing w:after="0" w:line="257" w:lineRule="exact"/>
        <w:rPr>
          <w:rFonts w:ascii="Arial" w:cs="Arial" w:eastAsia="Arial" w:hAnsi="Arial"/>
          <w:sz w:val="15"/>
          <w:szCs w:val="15"/>
          <w:color w:val="auto"/>
        </w:rPr>
      </w:pPr>
    </w:p>
    <w:p>
      <w:pPr>
        <w:jc w:val="both"/>
        <w:ind w:left="927" w:hanging="309"/>
        <w:spacing w:after="0" w:line="266" w:lineRule="auto"/>
        <w:tabs>
          <w:tab w:leader="none" w:pos="917" w:val="left"/>
        </w:tabs>
        <w:numPr>
          <w:ilvl w:val="1"/>
          <w:numId w:val="10"/>
        </w:numPr>
        <w:rPr>
          <w:rFonts w:ascii="Arial" w:cs="Arial" w:eastAsia="Arial" w:hAnsi="Arial"/>
          <w:sz w:val="15"/>
          <w:szCs w:val="15"/>
          <w:b w:val="1"/>
          <w:bCs w:val="1"/>
          <w:i w:val="1"/>
          <w:iCs w:val="1"/>
          <w:color w:val="1D2758"/>
        </w:rPr>
      </w:pPr>
      <w:r>
        <w:rPr>
          <w:rFonts w:ascii="Arial" w:cs="Arial" w:eastAsia="Arial" w:hAnsi="Arial"/>
          <w:sz w:val="15"/>
          <w:szCs w:val="15"/>
          <w:color w:val="auto"/>
        </w:rPr>
        <w:t>Average portable storage units on rent increased 38,823, or 28.3%, year over year. Increases in organic activity drove an increase in average portable storage units on rent of approximately 14%, or 19,000 units on rent, including an acceleration earlier into the third quarter of our seasonal retail business. The remaining increase of approximately 20,000 units on rent was driven by units added in recent acquisitions. Average modular space units on rent increased 1,736, or 10.6%, year over year driven by increases in organic delivery activity as well as due to approximately 600 acquired units on rent.</w:t>
      </w:r>
    </w:p>
    <w:p>
      <w:pPr>
        <w:spacing w:after="0" w:line="75" w:lineRule="exact"/>
        <w:rPr>
          <w:rFonts w:ascii="Arial" w:cs="Arial" w:eastAsia="Arial" w:hAnsi="Arial"/>
          <w:sz w:val="15"/>
          <w:szCs w:val="15"/>
          <w:b w:val="1"/>
          <w:bCs w:val="1"/>
          <w:i w:val="1"/>
          <w:iCs w:val="1"/>
          <w:color w:val="1D2758"/>
        </w:rPr>
      </w:pPr>
    </w:p>
    <w:p>
      <w:pPr>
        <w:jc w:val="both"/>
        <w:ind w:left="927" w:hanging="309"/>
        <w:spacing w:after="0" w:line="282" w:lineRule="auto"/>
        <w:tabs>
          <w:tab w:leader="none" w:pos="917" w:val="left"/>
        </w:tabs>
        <w:numPr>
          <w:ilvl w:val="1"/>
          <w:numId w:val="10"/>
        </w:numPr>
        <w:rPr>
          <w:rFonts w:ascii="Arial" w:cs="Arial" w:eastAsia="Arial" w:hAnsi="Arial"/>
          <w:sz w:val="15"/>
          <w:szCs w:val="15"/>
          <w:color w:val="auto"/>
        </w:rPr>
      </w:pPr>
      <w:r>
        <w:rPr>
          <w:rFonts w:ascii="Arial" w:cs="Arial" w:eastAsia="Arial" w:hAnsi="Arial"/>
          <w:sz w:val="15"/>
          <w:szCs w:val="15"/>
          <w:color w:val="auto"/>
        </w:rPr>
        <w:t>Average portable storage monthly utilization increased 560 bps to 88.8% for the three months ended September 30, 2022, as compared to the three months ended September 30, 2021. Average modular space monthly utilization decreased 390 bps to 73.7% for the three months ended September 30, 2022, as compared to the three months ended September 30, 2021.</w:t>
      </w:r>
    </w:p>
    <w:p>
      <w:pPr>
        <w:spacing w:after="0" w:line="49" w:lineRule="exact"/>
        <w:rPr>
          <w:rFonts w:ascii="Arial" w:cs="Arial" w:eastAsia="Arial" w:hAnsi="Arial"/>
          <w:sz w:val="15"/>
          <w:szCs w:val="15"/>
          <w:color w:val="auto"/>
        </w:rPr>
      </w:pPr>
    </w:p>
    <w:p>
      <w:pPr>
        <w:jc w:val="both"/>
        <w:ind w:left="307" w:hanging="307"/>
        <w:spacing w:after="0" w:line="271" w:lineRule="auto"/>
        <w:tabs>
          <w:tab w:leader="none" w:pos="297" w:val="left"/>
        </w:tabs>
        <w:numPr>
          <w:ilvl w:val="0"/>
          <w:numId w:val="10"/>
        </w:numPr>
        <w:rPr>
          <w:rFonts w:ascii="Arial" w:cs="Arial" w:eastAsia="Arial" w:hAnsi="Arial"/>
          <w:sz w:val="15"/>
          <w:szCs w:val="15"/>
          <w:b w:val="1"/>
          <w:bCs w:val="1"/>
          <w:i w:val="1"/>
          <w:iCs w:val="1"/>
          <w:color w:val="1D2758"/>
        </w:rPr>
      </w:pPr>
      <w:r>
        <w:rPr>
          <w:rFonts w:ascii="Arial" w:cs="Arial" w:eastAsia="Arial" w:hAnsi="Arial"/>
          <w:sz w:val="15"/>
          <w:szCs w:val="15"/>
          <w:color w:val="auto"/>
        </w:rPr>
        <w:t>UK Storage segment revenue, which represented 4.3% of consolidated revenue for the three months ended September 30, 2022, decreased $1.9 million, or 6.8%, to $26.2 million and Adjusted EBITDA decreased $1.3 million, or 9.8%, to $12.0 million driven entirely by the weakening of the British Pound relative to the US Dollar. Unfavorable currency fluctuations reduced Adjusted EBITDA by $2.0 million in GBP. In local currency, revenue increased 9.1% year-over-year, driven by a 13.6% increase in portable storage average monthly rental rates and a 8.4% increase in average portable storage units on rent, and Adjusted EBITDA increased by 5.7% year-over-year.</w:t>
      </w:r>
    </w:p>
    <w:p>
      <w:pPr>
        <w:spacing w:after="0" w:line="57" w:lineRule="exact"/>
        <w:rPr>
          <w:rFonts w:ascii="Arial" w:cs="Arial" w:eastAsia="Arial" w:hAnsi="Arial"/>
          <w:sz w:val="15"/>
          <w:szCs w:val="15"/>
          <w:b w:val="1"/>
          <w:bCs w:val="1"/>
          <w:i w:val="1"/>
          <w:iCs w:val="1"/>
          <w:color w:val="1D2758"/>
        </w:rPr>
      </w:pPr>
    </w:p>
    <w:p>
      <w:pPr>
        <w:jc w:val="both"/>
        <w:ind w:left="307" w:hanging="307"/>
        <w:spacing w:after="0" w:line="282" w:lineRule="auto"/>
        <w:tabs>
          <w:tab w:leader="none" w:pos="297" w:val="left"/>
        </w:tabs>
        <w:numPr>
          <w:ilvl w:val="0"/>
          <w:numId w:val="10"/>
        </w:numPr>
        <w:rPr>
          <w:rFonts w:ascii="Arial" w:cs="Arial" w:eastAsia="Arial" w:hAnsi="Arial"/>
          <w:sz w:val="15"/>
          <w:szCs w:val="15"/>
          <w:color w:val="auto"/>
        </w:rPr>
      </w:pPr>
      <w:r>
        <w:rPr>
          <w:rFonts w:ascii="Arial" w:cs="Arial" w:eastAsia="Arial" w:hAnsi="Arial"/>
          <w:sz w:val="15"/>
          <w:szCs w:val="15"/>
          <w:color w:val="auto"/>
        </w:rPr>
        <w:t>Generated income from continuing operations of $85.7 million for the three months ended September 30, 2022 representing an increase of $28.6 million, or 46.8%, versus the three months ended September 30, 2021. Net income including income from discontinued operations was $128.6 million for the three months ended September 30, 2022.</w:t>
      </w:r>
    </w:p>
    <w:p>
      <w:pPr>
        <w:spacing w:after="0" w:line="49" w:lineRule="exact"/>
        <w:rPr>
          <w:rFonts w:ascii="Arial" w:cs="Arial" w:eastAsia="Arial" w:hAnsi="Arial"/>
          <w:sz w:val="15"/>
          <w:szCs w:val="15"/>
          <w:color w:val="auto"/>
        </w:rPr>
      </w:pPr>
    </w:p>
    <w:p>
      <w:pPr>
        <w:jc w:val="both"/>
        <w:ind w:left="307" w:hanging="307"/>
        <w:spacing w:after="0" w:line="281" w:lineRule="auto"/>
        <w:tabs>
          <w:tab w:leader="none" w:pos="297" w:val="left"/>
        </w:tabs>
        <w:numPr>
          <w:ilvl w:val="0"/>
          <w:numId w:val="10"/>
        </w:numPr>
        <w:rPr>
          <w:rFonts w:ascii="Times New Roman" w:cs="Times New Roman" w:eastAsia="Times New Roman" w:hAnsi="Times New Roman"/>
          <w:sz w:val="15"/>
          <w:szCs w:val="15"/>
          <w:b w:val="1"/>
          <w:bCs w:val="1"/>
          <w:i w:val="1"/>
          <w:iCs w:val="1"/>
          <w:color w:val="auto"/>
        </w:rPr>
      </w:pPr>
      <w:r>
        <w:rPr>
          <w:rFonts w:ascii="Arial" w:cs="Arial" w:eastAsia="Arial" w:hAnsi="Arial"/>
          <w:sz w:val="15"/>
          <w:szCs w:val="15"/>
          <w:color w:val="auto"/>
        </w:rPr>
        <w:t>Generated Adjusted EBITDA from continuing operations of $251.3 million for the three months ended September 30, 2022, representing an increase of $72.1 million, or 40.2%, as compared to the same period in 2021. This increase was driven primarily by increased leasing gross profit. Including results from discontinued operations representing the divestiture of the Tank and Pump segment, Adjusted EBITDA was $264 million.</w:t>
      </w:r>
    </w:p>
    <w:p>
      <w:pPr>
        <w:spacing w:after="0" w:line="51" w:lineRule="exact"/>
        <w:rPr>
          <w:sz w:val="20"/>
          <w:szCs w:val="20"/>
          <w:color w:val="auto"/>
        </w:rPr>
      </w:pPr>
    </w:p>
    <w:p>
      <w:pPr>
        <w:jc w:val="both"/>
        <w:ind w:left="927" w:hanging="309"/>
        <w:spacing w:after="0" w:line="282" w:lineRule="auto"/>
        <w:tabs>
          <w:tab w:leader="none" w:pos="931" w:val="left"/>
        </w:tabs>
        <w:numPr>
          <w:ilvl w:val="1"/>
          <w:numId w:val="11"/>
        </w:numPr>
        <w:rPr>
          <w:rFonts w:ascii="Arial" w:cs="Arial" w:eastAsia="Arial" w:hAnsi="Arial"/>
          <w:sz w:val="15"/>
          <w:szCs w:val="15"/>
          <w:b w:val="1"/>
          <w:bCs w:val="1"/>
          <w:i w:val="1"/>
          <w:iCs w:val="1"/>
          <w:color w:val="auto"/>
        </w:rPr>
      </w:pPr>
      <w:r>
        <w:rPr>
          <w:rFonts w:ascii="Arial" w:cs="Arial" w:eastAsia="Arial" w:hAnsi="Arial"/>
          <w:sz w:val="15"/>
          <w:szCs w:val="15"/>
          <w:color w:val="auto"/>
        </w:rPr>
        <w:t>Consolidated Adjusted EBITDA Margin was 41.6% in the third quarter of 2022 and increased 270 bps versus prior year driven by increased leasing and delivery and installation margins as a result of increased volumes and pricing, partially offset by increased selling, general and administrative expense.</w:t>
      </w:r>
    </w:p>
    <w:p>
      <w:pPr>
        <w:spacing w:after="0" w:line="49" w:lineRule="exact"/>
        <w:rPr>
          <w:rFonts w:ascii="Arial" w:cs="Arial" w:eastAsia="Arial" w:hAnsi="Arial"/>
          <w:sz w:val="15"/>
          <w:szCs w:val="15"/>
          <w:b w:val="1"/>
          <w:bCs w:val="1"/>
          <w:i w:val="1"/>
          <w:iCs w:val="1"/>
          <w:color w:val="auto"/>
        </w:rPr>
      </w:pPr>
    </w:p>
    <w:p>
      <w:pPr>
        <w:jc w:val="both"/>
        <w:ind w:left="307" w:hanging="307"/>
        <w:spacing w:after="0" w:line="281" w:lineRule="auto"/>
        <w:tabs>
          <w:tab w:leader="none" w:pos="297" w:val="left"/>
        </w:tabs>
        <w:numPr>
          <w:ilvl w:val="0"/>
          <w:numId w:val="11"/>
        </w:numPr>
        <w:rPr>
          <w:rFonts w:ascii="Times New Roman" w:cs="Times New Roman" w:eastAsia="Times New Roman" w:hAnsi="Times New Roman"/>
          <w:sz w:val="15"/>
          <w:szCs w:val="15"/>
          <w:b w:val="1"/>
          <w:bCs w:val="1"/>
          <w:color w:val="auto"/>
        </w:rPr>
      </w:pPr>
      <w:r>
        <w:rPr>
          <w:rFonts w:ascii="Arial" w:cs="Arial" w:eastAsia="Arial" w:hAnsi="Arial"/>
          <w:sz w:val="15"/>
          <w:szCs w:val="15"/>
          <w:color w:val="auto"/>
        </w:rPr>
        <w:t>Generated Free Cash Flow of $83.4 million for the three months ended September 30, 2022 representing an increase of $4.9 million as compared to the same period in 2021. Net cash provided by operating activities increased $80.0 million to $210.4 million. Net cash used in investing activities excluding acquisitions and sale of discontinued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056" w:right="339" w:bottom="1440" w:gutter="0" w:footer="0" w:header="0"/>
        </w:sectPr>
      </w:pPr>
    </w:p>
    <w:bookmarkStart w:id="34" w:name="page35"/>
    <w:bookmarkEnd w:id="34"/>
    <w:p>
      <w:pPr>
        <w:ind w:left="307"/>
        <w:spacing w:after="0" w:line="294" w:lineRule="auto"/>
        <w:rPr>
          <w:sz w:val="20"/>
          <w:szCs w:val="20"/>
          <w:color w:val="auto"/>
        </w:rPr>
      </w:pPr>
      <w:r>
        <w:rPr>
          <w:rFonts w:ascii="Arial" w:cs="Arial" w:eastAsia="Arial" w:hAnsi="Arial"/>
          <w:sz w:val="15"/>
          <w:szCs w:val="15"/>
          <w:color w:val="auto"/>
        </w:rPr>
        <w:t>operations increased by $38.6 million to $127.0 million to support increases in delivery activity during 2022 as economic activity rebounded versus 2021, and the related unit on rent growth.</w:t>
      </w:r>
    </w:p>
    <w:p>
      <w:pPr>
        <w:spacing w:after="0" w:line="54" w:lineRule="exact"/>
        <w:rPr>
          <w:sz w:val="20"/>
          <w:szCs w:val="20"/>
          <w:color w:val="auto"/>
        </w:rPr>
      </w:pPr>
    </w:p>
    <w:p>
      <w:pPr>
        <w:jc w:val="both"/>
        <w:ind w:left="307" w:hanging="307"/>
        <w:spacing w:after="0" w:line="271" w:lineRule="auto"/>
        <w:tabs>
          <w:tab w:leader="none" w:pos="297" w:val="left"/>
        </w:tabs>
        <w:numPr>
          <w:ilvl w:val="0"/>
          <w:numId w:val="12"/>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Returned $197.5 million to shareholders by repurchasing 5.3 million shares of Common Stock and stock equivalents during the three months ended September 30, 2022 and closed four acquisitions totaling approximately 7,600 storage units and 3,000 modular units for $104.7 million. We believe the predictability of our free cash flow allows us to pursue multiple capital allocation priorities opportunistically, including investing in organic opportunities we see in the market, continuing our deleveraging trajectory, opportunistically executing accretive acquisitions, and returning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53340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056"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1D2758"/>
        </w:rPr>
        <w:t>Consolidated Results of Continuing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2022 Compared to the Three Months Ended September 30, 2021</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three months ended September 30, 2022 and 2021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40" w:type="dxa"/>
            <w:vAlign w:val="bottom"/>
            <w:gridSpan w:val="4"/>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 September 30,</w:t>
            </w:r>
          </w:p>
        </w:tc>
        <w:tc>
          <w:tcPr>
            <w:tcW w:w="66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1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 vs. 2021</w:t>
            </w:r>
          </w:p>
        </w:tc>
        <w:tc>
          <w:tcPr>
            <w:tcW w:w="86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213"/>
        </w:trPr>
        <w:tc>
          <w:tcPr>
            <w:tcW w:w="5040" w:type="dxa"/>
            <w:vAlign w:val="bottom"/>
            <w:vMerge w:val="continue"/>
            <w:shd w:val="clear" w:color="auto" w:fill="1D2758"/>
          </w:tcPr>
          <w:p>
            <w:pPr>
              <w:spacing w:after="0"/>
              <w:rPr>
                <w:sz w:val="18"/>
                <w:szCs w:val="18"/>
                <w:color w:val="auto"/>
              </w:rPr>
            </w:pPr>
          </w:p>
        </w:tc>
        <w:tc>
          <w:tcPr>
            <w:tcW w:w="1280" w:type="dxa"/>
            <w:vAlign w:val="bottom"/>
            <w:vMerge w:val="restart"/>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2022</w:t>
            </w:r>
          </w:p>
        </w:tc>
        <w:tc>
          <w:tcPr>
            <w:tcW w:w="7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3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2021</w:t>
            </w:r>
          </w:p>
        </w:tc>
        <w:tc>
          <w:tcPr>
            <w:tcW w:w="6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8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504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72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340" w:type="dxa"/>
            <w:vAlign w:val="bottom"/>
            <w:vMerge w:val="continue"/>
            <w:shd w:val="clear" w:color="auto" w:fill="1D2758"/>
          </w:tcPr>
          <w:p>
            <w:pPr>
              <w:spacing w:after="0"/>
              <w:rPr>
                <w:sz w:val="7"/>
                <w:szCs w:val="7"/>
                <w:color w:val="auto"/>
              </w:rPr>
            </w:pPr>
          </w:p>
        </w:tc>
        <w:tc>
          <w:tcPr>
            <w:tcW w:w="66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140" w:type="dxa"/>
            <w:vAlign w:val="bottom"/>
            <w:shd w:val="clear" w:color="auto" w:fill="1D2758"/>
          </w:tcPr>
          <w:p>
            <w:pPr>
              <w:spacing w:after="0"/>
              <w:rPr>
                <w:sz w:val="7"/>
                <w:szCs w:val="7"/>
                <w:color w:val="auto"/>
              </w:rPr>
            </w:pPr>
          </w:p>
        </w:tc>
        <w:tc>
          <w:tcPr>
            <w:tcW w:w="8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447,535</w:t>
            </w:r>
          </w:p>
        </w:tc>
        <w:tc>
          <w:tcPr>
            <w:tcW w:w="10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116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342,599</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104,936</w:t>
            </w: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132,837</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91,910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40,927</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9,901</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15,370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(5,469)</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8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13,900</w:t>
            </w:r>
          </w:p>
        </w:tc>
        <w:tc>
          <w:tcPr>
            <w:tcW w:w="100" w:type="dxa"/>
            <w:vAlign w:val="bottom"/>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11,168</w:t>
            </w:r>
          </w:p>
        </w:tc>
        <w:tc>
          <w:tcPr>
            <w:tcW w:w="100" w:type="dxa"/>
            <w:vAlign w:val="bottom"/>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2,732</w:t>
            </w:r>
          </w:p>
        </w:tc>
        <w:tc>
          <w:tcPr>
            <w:tcW w:w="0" w:type="dxa"/>
            <w:vAlign w:val="bottom"/>
          </w:tcPr>
          <w:p>
            <w:pPr>
              <w:spacing w:after="0"/>
              <w:rPr>
                <w:sz w:val="1"/>
                <w:szCs w:val="1"/>
                <w:color w:val="auto"/>
              </w:rPr>
            </w:pPr>
          </w:p>
        </w:tc>
      </w:tr>
      <w:tr>
        <w:trPr>
          <w:trHeight w:val="198"/>
        </w:trPr>
        <w:tc>
          <w:tcPr>
            <w:tcW w:w="50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604,173</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461,047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143,126</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111,898</w:t>
            </w:r>
          </w:p>
        </w:tc>
        <w:tc>
          <w:tcPr>
            <w:tcW w:w="1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77,967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33,931</w:t>
            </w: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95,680</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74,221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21,459</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6,007</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11,175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(5,168)</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7,097</w:t>
            </w:r>
          </w:p>
        </w:tc>
        <w:tc>
          <w:tcPr>
            <w:tcW w:w="1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5,468</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1,629</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69,159</w:t>
            </w:r>
          </w:p>
        </w:tc>
        <w:tc>
          <w:tcPr>
            <w:tcW w:w="10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52,990</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16,169</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314,332</w:t>
            </w:r>
          </w:p>
        </w:tc>
        <w:tc>
          <w:tcPr>
            <w:tcW w:w="1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239,226</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75,106</w:t>
            </w:r>
          </w:p>
        </w:tc>
        <w:tc>
          <w:tcPr>
            <w:tcW w:w="0" w:type="dxa"/>
            <w:vAlign w:val="bottom"/>
          </w:tcPr>
          <w:p>
            <w:pPr>
              <w:spacing w:after="0"/>
              <w:rPr>
                <w:sz w:val="1"/>
                <w:szCs w:val="1"/>
                <w:color w:val="auto"/>
              </w:rPr>
            </w:pPr>
          </w:p>
        </w:tc>
      </w:tr>
      <w:tr>
        <w:trPr>
          <w:trHeight w:val="205"/>
        </w:trPr>
        <w:tc>
          <w:tcPr>
            <w:tcW w:w="5040" w:type="dxa"/>
            <w:vAlign w:val="bottom"/>
          </w:tcPr>
          <w:p>
            <w:pPr>
              <w:ind w:left="20"/>
              <w:spacing w:after="0"/>
              <w:rPr>
                <w:sz w:val="20"/>
                <w:szCs w:val="20"/>
                <w:color w:val="auto"/>
              </w:rPr>
            </w:pPr>
            <w:r>
              <w:rPr>
                <w:rFonts w:ascii="Arial" w:cs="Arial" w:eastAsia="Arial" w:hAnsi="Arial"/>
                <w:sz w:val="15"/>
                <w:szCs w:val="15"/>
                <w:color w:val="auto"/>
              </w:rPr>
              <w:t>Expenses:</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145,444</w:t>
            </w:r>
          </w:p>
        </w:tc>
        <w:tc>
          <w:tcPr>
            <w:tcW w:w="1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127,346</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18,098</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17,066</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16,459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607</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2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601</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(601)</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12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1,856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(1,856)</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expense, net</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(2,526)</w:t>
            </w:r>
          </w:p>
        </w:tc>
        <w:tc>
          <w:tcPr>
            <w:tcW w:w="10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1,475</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(4,001)</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154,112</w:t>
            </w:r>
          </w:p>
        </w:tc>
        <w:tc>
          <w:tcPr>
            <w:tcW w:w="1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91,362</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62,750</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38,165</w:t>
            </w:r>
          </w:p>
        </w:tc>
        <w:tc>
          <w:tcPr>
            <w:tcW w:w="10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29,006</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9,159</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115,947</w:t>
            </w:r>
          </w:p>
        </w:tc>
        <w:tc>
          <w:tcPr>
            <w:tcW w:w="10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62,356</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53,591</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30,219</w:t>
            </w:r>
          </w:p>
        </w:tc>
        <w:tc>
          <w:tcPr>
            <w:tcW w:w="10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5,243</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24,976</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1280" w:type="dxa"/>
            <w:vAlign w:val="bottom"/>
            <w:tcBorders>
              <w:bottom w:val="single" w:sz="8" w:color="auto"/>
            </w:tcBorders>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85,728</w:t>
            </w:r>
          </w:p>
        </w:tc>
        <w:tc>
          <w:tcPr>
            <w:tcW w:w="10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ind w:right="116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57,113</w:t>
            </w:r>
          </w:p>
        </w:tc>
        <w:tc>
          <w:tcPr>
            <w:tcW w:w="10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28,615</w:t>
            </w:r>
          </w:p>
        </w:tc>
        <w:tc>
          <w:tcPr>
            <w:tcW w:w="0" w:type="dxa"/>
            <w:vAlign w:val="bottom"/>
          </w:tcPr>
          <w:p>
            <w:pPr>
              <w:spacing w:after="0"/>
              <w:rPr>
                <w:sz w:val="1"/>
                <w:szCs w:val="1"/>
                <w:color w:val="auto"/>
              </w:rPr>
            </w:pPr>
          </w:p>
        </w:tc>
      </w:tr>
      <w:tr>
        <w:trPr>
          <w:trHeight w:val="20"/>
        </w:trPr>
        <w:tc>
          <w:tcPr>
            <w:tcW w:w="504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September 30, 2022 and 2021</w:t>
      </w:r>
    </w:p>
    <w:p>
      <w:pPr>
        <w:spacing w:after="0" w:line="12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$143.2 million, or 31.1%, to $604.2 million for the three months ended September 30, 2022 from $461.0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2021. Leasing revenue increased $104.9 million, or 30.6%, as compared to the same period in 2021 driven by improved pricing and value added products, and an increase of 41,048 average portable storage units on rent driven by significant increases in delivery activity during 2021 and into 2022 as economic activity rebounded versus 2020 and recent acquisition activity. Delivery and installation revenues increased $40.9 million, or 44.5%, due to increased overall activity and increased pricing due to our ability to pass through increasing fuel costs and general price increases. Rental unit sales increased $2.7 million, or 24.1%, and new unit sales decreased $5.5 million, or 35.7%. We estimate that recent acquisitions completed over the past four quarters contributed approximately $22.4 million to total revenues for three months ended September 30, 2022.</w:t>
      </w:r>
    </w:p>
    <w:p>
      <w:pPr>
        <w:spacing w:after="0" w:line="2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Total average units on rent for the three months ended September 30, 2022 and 2021 were 318,281 and 273,080, respectively, representing an increase of 45,201, or 16.6%. Of this increase, approximately 20,000 portable storage units and 4,000 modular space units on rent were added through recent acquisitions. Portable storage average units on rent increased by 41,048 units, or 25.1%, for the three months ended September 30, 2022 driven by strong demand and acquisitions. The average portable storage unit utilization rate during the three months ended September 30, 2022 was 88.9%, as compared 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36" w:name="page37"/>
    <w:bookmarkEnd w:id="36"/>
    <w:p>
      <w:pPr>
        <w:jc w:val="both"/>
        <w:spacing w:after="0" w:line="281" w:lineRule="auto"/>
        <w:rPr>
          <w:sz w:val="20"/>
          <w:szCs w:val="20"/>
          <w:color w:val="auto"/>
        </w:rPr>
      </w:pPr>
      <w:r>
        <w:rPr>
          <w:rFonts w:ascii="Arial" w:cs="Arial" w:eastAsia="Arial" w:hAnsi="Arial"/>
          <w:sz w:val="15"/>
          <w:szCs w:val="15"/>
          <w:color w:val="auto"/>
        </w:rPr>
        <w:t>83.9% during the same period in 2021. Modular space average units on rent increased 4,153 units, or 3.8%, for the three months ended September 30, 2022 as compared to the three months ended September 30, 2021 driven primarily by acquisitions. The average modular space unit utilization rate during the three months ended September 30, 2022 was 68.9%, as compared to 70.1% during the same period in 2021.</w:t>
      </w:r>
    </w:p>
    <w:p>
      <w:pPr>
        <w:jc w:val="both"/>
        <w:ind w:firstLine="619"/>
        <w:spacing w:after="0" w:line="271" w:lineRule="auto"/>
        <w:rPr>
          <w:sz w:val="20"/>
          <w:szCs w:val="20"/>
          <w:color w:val="auto"/>
        </w:rPr>
      </w:pPr>
      <w:r>
        <w:rPr>
          <w:rFonts w:ascii="Arial" w:cs="Arial" w:eastAsia="Arial" w:hAnsi="Arial"/>
          <w:sz w:val="15"/>
          <w:szCs w:val="15"/>
          <w:color w:val="auto"/>
        </w:rPr>
        <w:t>Modular space average monthly rental rates increased 18.3% to $907 for the three months ended September 30, 2022. Improved pricing was achieved across all relevant segments. Average modular space monthly rental rates increased by $157, or 18.8%, to $991 in the NA Modular segment and by $144, or 23.9%, in the NA Storage segment. Increases were driven by a continuation of our long-term price optimization initiative and VAPS penetration opportunities across our NA Modular segment as well as by some early application of these same price management tools and processes across the NA Storage segment. The NA Storage segment also continued to see early benefits from increased VAPS penetration opportunities.</w:t>
      </w:r>
    </w:p>
    <w:p>
      <w:pPr>
        <w:spacing w:after="0" w:line="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Average portable storage monthly rental rates increased 25.5% to $182 for the three months ended September 30, 2022 driven by our price management tools and processes, further supported by high utilization and by an acceleration earlier into the third quarter of our seasonal retail business at increased rates.</w:t>
      </w:r>
    </w:p>
    <w:p>
      <w:pPr>
        <w:spacing w:after="0" w:line="2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52.0% and 51.9% for the three months ended September 30, 2022 and 2021, respectively. Our adjusted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gross profit percentage, which excludes the effects of depreciation, was 63.5% and 63.4% for the three months ended September 30, 2022 and 2021, respectively. Gross profit increased $75.1 million, or 31.4%, to $314.3 million for the three months ended September 30, 2022 from $239.2 million for the three months ended September 30, 2021. The increase in gross profit was a result of a $71.0 million increase in leasing gross profit, increased delivery and installation gross profit of $19.4 million and increased new and rental unit sale margins of $0.8 million. These increases were primarily a result of increased revenues due to favorable average monthly rental rates across both portable storage and modular space units, increased pricing on delivery and installation, as well as due to higher units on rent and increased activity levels driving higher delivery and installation revenues, partially offset by increased variable costs during the period as a result of higher activity levels in the current quarter and inflationary pressures across many of our cost categories. Depreciation increased $16.2 million as a result of capital investments made in our rental equipment, including the impact of recent acquisitions.</w:t>
      </w:r>
    </w:p>
    <w:p>
      <w:pPr>
        <w:spacing w:after="0" w:line="1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Selling, general and administrative expense ("SG&amp;A") increased $18.1 million, or 14.2%, to $145.4 million for the three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2022, compared to $127.3 million for the three months ended September 30, 2021. Employee costs excluding stock compensation increased $12.2 million, or 20.6%, driven by a 12% increase in SG&amp;A headcount to support both organic and inorganic growth, wage increases, and increased variable compensation as a result of the growth achieved. Stock compensation expense increased $1.0 million to $7.2 million for the three months ended September 30, 2022, compared to $6.2 million for the three months ended September 30, 2021. Integration costs decreased $4.3 million to $3.9 million for the three months ended September 30, 2022, compared to $8.2 million for the three months ended September 30, 2021. The remaining increases were primarily driven by increased economic activity and inflationary increases, including increased occupancy and office costs, legal and professional fees, insurance, travel expenses, and marketing cost increases.</w:t>
      </w:r>
    </w:p>
    <w:p>
      <w:pPr>
        <w:spacing w:after="0" w:line="6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$0.6 million to $17.1 million for the three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2022 compared to $16.5 million for the three months ended September 30, 2021. The increase was driven by an increase in depreciation of vehicles, buildings and equipment.</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were $0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2022 as compared to $0.6 million for the three months ended September 30, 2021. The decrease resulted from fewer closed locations during the three months ended September 30, 2022 as compared to the three months ended September 30, 2021.</w:t>
      </w:r>
    </w:p>
    <w:p>
      <w:pPr>
        <w:spacing w:after="0" w:line="6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were $1.9 million for the three months ended September 30, 2021 primarily driven by employee termination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costs resulting from the elimination of positions due to the merger.</w:t>
      </w:r>
    </w:p>
    <w:p>
      <w:pPr>
        <w:spacing w:after="0" w:line="4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changed by $0.1 million to $0.2 million for the three months ended September 30, 2022 from $0.1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September 30, 2021. This change was primarily attributable to the impact of foreign currency exchanges rate changes on intercompany receivables and payables denominated in a currency other than the subsidiary's functional currency.</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(Income) Expense, net: </w:t>
      </w:r>
      <w:r>
        <w:rPr>
          <w:rFonts w:ascii="Arial" w:cs="Arial" w:eastAsia="Arial" w:hAnsi="Arial"/>
          <w:sz w:val="15"/>
          <w:szCs w:val="15"/>
          <w:color w:val="auto"/>
        </w:rPr>
        <w:t>Other (income) expense, net was $2.5 million of income for the three months ended September 30, 2022 compared to $1.5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of expense for the three months ended September 30, 2021. Other income, net of $2.5 million for the three months ended September 30, 2022 was primarily related to insurance recoveries in the quarter related to Hurricane Ida in the Gulf Coast area of the United States in 2021.</w:t>
      </w:r>
    </w:p>
    <w:p>
      <w:pPr>
        <w:spacing w:after="0" w:line="6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$9.2 million, or 31.7%, to $38.2 million for the three months ended September 30, 2022 from $29.0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months ended September 30, 2021 due to both an increase in outstanding borrowings and an increase in the weighted average interest rate for borrowings under the ABL Facility due to increased benchmark interest rates, partially offset by a favorable margin reduction as a result of the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color w:val="auto"/>
        </w:rPr>
        <w:t>amendment to the credit facility. See Note 10 to the condensed consolidated financial statements for further discussion of our debt.</w:t>
      </w:r>
    </w:p>
    <w:p>
      <w:pPr>
        <w:spacing w:after="0" w:line="111"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$25.0 million to $30.2 million for the three months ended September 30, 2022 compared to $5.2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September 30, 2021. The increase in expense was driven by the pre-tax income increase for the three months ended September 30, 2022.</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September 30, 2022 Compared to the Nine Months Ended September 30, 2021</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nine months ended September 30, 2022 and 2021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0" w:type="dxa"/>
            <w:vAlign w:val="bottom"/>
            <w:gridSpan w:val="6"/>
            <w:shd w:val="clear" w:color="auto" w:fill="1D2758"/>
          </w:tcPr>
          <w:p>
            <w:pPr>
              <w:ind w:left="820"/>
              <w:spacing w:after="0"/>
              <w:rPr>
                <w:sz w:val="20"/>
                <w:szCs w:val="20"/>
                <w:color w:val="auto"/>
              </w:rPr>
            </w:pPr>
            <w:r>
              <w:rPr>
                <w:rFonts w:ascii="Arial" w:cs="Arial" w:eastAsia="Arial" w:hAnsi="Arial"/>
                <w:sz w:val="15"/>
                <w:szCs w:val="15"/>
                <w:b w:val="1"/>
                <w:bCs w:val="1"/>
                <w:color w:val="FFFFFF"/>
              </w:rPr>
              <w:t>Nine Months Ended September 30,</w:t>
            </w:r>
          </w:p>
        </w:tc>
        <w:tc>
          <w:tcPr>
            <w:tcW w:w="1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 vs. 2021</w:t>
            </w:r>
          </w:p>
        </w:tc>
        <w:tc>
          <w:tcPr>
            <w:tcW w:w="86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213"/>
        </w:trPr>
        <w:tc>
          <w:tcPr>
            <w:tcW w:w="5040" w:type="dxa"/>
            <w:vAlign w:val="bottom"/>
            <w:vMerge w:val="continue"/>
            <w:shd w:val="clear" w:color="auto" w:fill="1D2758"/>
          </w:tcPr>
          <w:p>
            <w:pPr>
              <w:spacing w:after="0"/>
              <w:rPr>
                <w:sz w:val="18"/>
                <w:szCs w:val="18"/>
                <w:color w:val="auto"/>
              </w:rPr>
            </w:pPr>
          </w:p>
        </w:tc>
        <w:tc>
          <w:tcPr>
            <w:tcW w:w="1200" w:type="dxa"/>
            <w:vAlign w:val="bottom"/>
            <w:vMerge w:val="restart"/>
            <w:shd w:val="clear" w:color="auto" w:fill="1D2758"/>
          </w:tcPr>
          <w:p>
            <w:pPr>
              <w:ind w:left="820"/>
              <w:spacing w:after="0"/>
              <w:rPr>
                <w:sz w:val="20"/>
                <w:szCs w:val="20"/>
                <w:color w:val="auto"/>
              </w:rPr>
            </w:pPr>
            <w:r>
              <w:rPr>
                <w:rFonts w:ascii="Arial" w:cs="Arial" w:eastAsia="Arial" w:hAnsi="Arial"/>
                <w:sz w:val="15"/>
                <w:szCs w:val="15"/>
                <w:b w:val="1"/>
                <w:bCs w:val="1"/>
                <w:color w:val="FFFFFF"/>
              </w:rPr>
              <w:t>2022</w:t>
            </w:r>
          </w:p>
        </w:tc>
        <w:tc>
          <w:tcPr>
            <w:tcW w:w="8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54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8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5040" w:type="dxa"/>
            <w:vAlign w:val="bottom"/>
            <w:shd w:val="clear" w:color="auto" w:fill="1D2758"/>
          </w:tcPr>
          <w:p>
            <w:pPr>
              <w:spacing w:after="0"/>
              <w:rPr>
                <w:sz w:val="7"/>
                <w:szCs w:val="7"/>
                <w:color w:val="auto"/>
              </w:rPr>
            </w:pPr>
          </w:p>
        </w:tc>
        <w:tc>
          <w:tcPr>
            <w:tcW w:w="1200" w:type="dxa"/>
            <w:vAlign w:val="bottom"/>
            <w:vMerge w:val="continue"/>
            <w:shd w:val="clear" w:color="auto" w:fill="1D2758"/>
          </w:tcPr>
          <w:p>
            <w:pPr>
              <w:spacing w:after="0"/>
              <w:rPr>
                <w:sz w:val="7"/>
                <w:szCs w:val="7"/>
                <w:color w:val="auto"/>
              </w:rPr>
            </w:pPr>
          </w:p>
        </w:tc>
        <w:tc>
          <w:tcPr>
            <w:tcW w:w="80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460" w:type="dxa"/>
            <w:vAlign w:val="bottom"/>
            <w:shd w:val="clear" w:color="auto" w:fill="1D2758"/>
          </w:tcPr>
          <w:p>
            <w:pPr>
              <w:spacing w:after="0"/>
              <w:rPr>
                <w:sz w:val="7"/>
                <w:szCs w:val="7"/>
                <w:color w:val="auto"/>
              </w:rPr>
            </w:pPr>
          </w:p>
        </w:tc>
        <w:tc>
          <w:tcPr>
            <w:tcW w:w="154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140" w:type="dxa"/>
            <w:vAlign w:val="bottom"/>
            <w:shd w:val="clear" w:color="auto" w:fill="1D2758"/>
          </w:tcPr>
          <w:p>
            <w:pPr>
              <w:spacing w:after="0"/>
              <w:rPr>
                <w:sz w:val="7"/>
                <w:szCs w:val="7"/>
                <w:color w:val="auto"/>
              </w:rPr>
            </w:pPr>
          </w:p>
        </w:tc>
        <w:tc>
          <w:tcPr>
            <w:tcW w:w="8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5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00" w:type="dxa"/>
            <w:vAlign w:val="bottom"/>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1,226,206</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965,894</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260,312</w:t>
            </w: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341,027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252,914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88,113</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26,232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35,915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(9,683)</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0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38,874</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40,911</w:t>
            </w:r>
          </w:p>
        </w:tc>
        <w:tc>
          <w:tcPr>
            <w:tcW w:w="100" w:type="dxa"/>
            <w:vAlign w:val="bottom"/>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(2,037)</w:t>
            </w:r>
          </w:p>
        </w:tc>
        <w:tc>
          <w:tcPr>
            <w:tcW w:w="0" w:type="dxa"/>
            <w:vAlign w:val="bottom"/>
          </w:tcPr>
          <w:p>
            <w:pPr>
              <w:spacing w:after="0"/>
              <w:rPr>
                <w:sz w:val="1"/>
                <w:szCs w:val="1"/>
                <w:color w:val="auto"/>
              </w:rPr>
            </w:pPr>
          </w:p>
        </w:tc>
      </w:tr>
      <w:tr>
        <w:trPr>
          <w:trHeight w:val="198"/>
        </w:trPr>
        <w:tc>
          <w:tcPr>
            <w:tcW w:w="50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1,632,339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1,295,634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336,705</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288,774</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222,747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66,027</w:t>
            </w: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256,130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209,963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46,167</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15,469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24,322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(8,853)</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21,123</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22,441</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(1,318)</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192,228</w:t>
            </w: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165,027</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27,201</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2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858,615</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651,134</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207,481</w:t>
            </w:r>
          </w:p>
        </w:tc>
        <w:tc>
          <w:tcPr>
            <w:tcW w:w="0" w:type="dxa"/>
            <w:vAlign w:val="bottom"/>
          </w:tcPr>
          <w:p>
            <w:pPr>
              <w:spacing w:after="0"/>
              <w:rPr>
                <w:sz w:val="1"/>
                <w:szCs w:val="1"/>
                <w:color w:val="auto"/>
              </w:rPr>
            </w:pPr>
          </w:p>
        </w:tc>
      </w:tr>
      <w:tr>
        <w:trPr>
          <w:trHeight w:val="205"/>
        </w:trPr>
        <w:tc>
          <w:tcPr>
            <w:tcW w:w="5040" w:type="dxa"/>
            <w:vAlign w:val="bottom"/>
          </w:tcPr>
          <w:p>
            <w:pPr>
              <w:ind w:left="20"/>
              <w:spacing w:after="0"/>
              <w:rPr>
                <w:sz w:val="20"/>
                <w:szCs w:val="20"/>
                <w:color w:val="auto"/>
              </w:rPr>
            </w:pPr>
            <w:r>
              <w:rPr>
                <w:rFonts w:ascii="Arial" w:cs="Arial" w:eastAsia="Arial" w:hAnsi="Arial"/>
                <w:sz w:val="15"/>
                <w:szCs w:val="15"/>
                <w:color w:val="auto"/>
              </w:rPr>
              <w:t>Expenses:</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445,319</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356,651</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88,668</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50,895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51,793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(898)</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2,328</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(2,074)</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11,956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(12,042)</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expense, net</w:t>
            </w:r>
          </w:p>
        </w:tc>
        <w:tc>
          <w:tcPr>
            <w:tcW w:w="1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(7,642)</w:t>
            </w: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(7,844)</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2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369,628</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228,008</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141,620</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102,362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87,793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14,569</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1200" w:type="dxa"/>
            <w:vAlign w:val="bottom"/>
            <w:shd w:val="clear" w:color="auto" w:fill="DBDBDB"/>
          </w:tcPr>
          <w:p>
            <w:pPr>
              <w:spacing w:after="0"/>
              <w:rPr>
                <w:sz w:val="18"/>
                <w:szCs w:val="18"/>
                <w:color w:val="auto"/>
              </w:rPr>
            </w:pPr>
          </w:p>
        </w:tc>
        <w:tc>
          <w:tcPr>
            <w:tcW w:w="9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5"/>
        </w:trPr>
        <w:tc>
          <w:tcPr>
            <w:tcW w:w="5040" w:type="dxa"/>
            <w:vAlign w:val="bottom"/>
          </w:tcPr>
          <w:p>
            <w:pPr>
              <w:ind w:left="240"/>
              <w:spacing w:after="0"/>
              <w:rPr>
                <w:sz w:val="20"/>
                <w:szCs w:val="20"/>
                <w:color w:val="auto"/>
              </w:rPr>
            </w:pPr>
            <w:r>
              <w:rPr>
                <w:rFonts w:ascii="Arial" w:cs="Arial" w:eastAsia="Arial" w:hAnsi="Arial"/>
                <w:sz w:val="15"/>
                <w:szCs w:val="15"/>
                <w:color w:val="auto"/>
              </w:rPr>
              <w:t>Loss on extinguishment of debt</w:t>
            </w:r>
          </w:p>
        </w:tc>
        <w:tc>
          <w:tcPr>
            <w:tcW w:w="1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5,999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0"/>
        </w:trPr>
        <w:tc>
          <w:tcPr>
            <w:tcW w:w="5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1200" w:type="dxa"/>
            <w:vAlign w:val="bottom"/>
            <w:tcBorders>
              <w:top w:val="single" w:sz="8" w:color="auto"/>
            </w:tcBorders>
            <w:shd w:val="clear" w:color="auto" w:fill="DBDBDB"/>
          </w:tcPr>
          <w:p>
            <w:pPr>
              <w:spacing w:after="0"/>
              <w:rPr>
                <w:sz w:val="17"/>
                <w:szCs w:val="17"/>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267,266</w:t>
            </w:r>
          </w:p>
        </w:tc>
        <w:tc>
          <w:tcPr>
            <w:tcW w:w="100" w:type="dxa"/>
            <w:vAlign w:val="bottom"/>
            <w:tcBorders>
              <w:top w:val="single" w:sz="8" w:color="DBDBDB"/>
            </w:tcBorders>
            <w:shd w:val="clear" w:color="auto" w:fill="DBDBDB"/>
          </w:tcPr>
          <w:p>
            <w:pPr>
              <w:spacing w:after="0"/>
              <w:rPr>
                <w:sz w:val="17"/>
                <w:szCs w:val="17"/>
                <w:color w:val="auto"/>
              </w:rPr>
            </w:pPr>
          </w:p>
        </w:tc>
        <w:tc>
          <w:tcPr>
            <w:tcW w:w="460" w:type="dxa"/>
            <w:vAlign w:val="bottom"/>
            <w:tcBorders>
              <w:top w:val="single" w:sz="8" w:color="auto"/>
            </w:tcBorders>
            <w:shd w:val="clear" w:color="auto" w:fill="DBDBDB"/>
          </w:tcPr>
          <w:p>
            <w:pPr>
              <w:spacing w:after="0"/>
              <w:rPr>
                <w:sz w:val="17"/>
                <w:szCs w:val="17"/>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107,619</w:t>
            </w:r>
          </w:p>
        </w:tc>
        <w:tc>
          <w:tcPr>
            <w:tcW w:w="100" w:type="dxa"/>
            <w:vAlign w:val="bottom"/>
            <w:tcBorders>
              <w:top w:val="single" w:sz="8" w:color="DBDBDB"/>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spacing w:after="0"/>
              <w:rPr>
                <w:sz w:val="17"/>
                <w:szCs w:val="17"/>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159,647</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1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67,167</w:t>
            </w: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32,341</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34,826</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1200" w:type="dxa"/>
            <w:vAlign w:val="bottom"/>
            <w:tcBorders>
              <w:bottom w:val="single" w:sz="8" w:color="auto"/>
            </w:tcBorders>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200,099</w:t>
            </w:r>
          </w:p>
        </w:tc>
        <w:tc>
          <w:tcPr>
            <w:tcW w:w="10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75,278</w:t>
            </w:r>
          </w:p>
        </w:tc>
        <w:tc>
          <w:tcPr>
            <w:tcW w:w="10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124,821</w:t>
            </w:r>
          </w:p>
        </w:tc>
        <w:tc>
          <w:tcPr>
            <w:tcW w:w="0" w:type="dxa"/>
            <w:vAlign w:val="bottom"/>
          </w:tcPr>
          <w:p>
            <w:pPr>
              <w:spacing w:after="0"/>
              <w:rPr>
                <w:sz w:val="1"/>
                <w:szCs w:val="1"/>
                <w:color w:val="auto"/>
              </w:rPr>
            </w:pPr>
          </w:p>
        </w:tc>
      </w:tr>
      <w:tr>
        <w:trPr>
          <w:trHeight w:val="20"/>
        </w:trPr>
        <w:tc>
          <w:tcPr>
            <w:tcW w:w="504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Nine Months Ended September 30, 2022 and 2021</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$336.7 million, or 26.0%, to $1,632.3 million for the nine months ended September 30, 2022 from $1,295.6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nine months ended September 30, 2021. Leasing revenue increased $260.3 million, or 26.9%, as compared to the same period in 2021 driven by an increase of 38,780 average modular space and portable storage units on rent as a result of increased economic activity and acquisitions, and improved pricing and value added products. Delivery and installation revenues increased $88.1 million, or 34.8%, due to increased overall activity and increased pricing due to our ability to pass through increasing fuel costs and general price increases. Rental unit sales decreased $2.0 million, or 4.9%, and new unit sales decreased $9.7 million, or 27.0%.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8" w:name="page39"/>
    <w:bookmarkEnd w:id="38"/>
    <w:p>
      <w:pPr>
        <w:jc w:val="both"/>
        <w:ind w:firstLine="619"/>
        <w:spacing w:after="0" w:line="264" w:lineRule="auto"/>
        <w:rPr>
          <w:sz w:val="20"/>
          <w:szCs w:val="20"/>
          <w:color w:val="auto"/>
        </w:rPr>
      </w:pPr>
      <w:r>
        <w:rPr>
          <w:rFonts w:ascii="Arial" w:cs="Arial" w:eastAsia="Arial" w:hAnsi="Arial"/>
          <w:sz w:val="15"/>
          <w:szCs w:val="15"/>
          <w:color w:val="auto"/>
        </w:rPr>
        <w:t>Total average units on rent for the nine months ended September 30, 2022 and 2021 were 302,444 and 263,664, respectively. Modular space average units on rent increased 2,787 units, or 2.5%, for the nine months ended September 30, 2022 as compared to the nine months ended September 30, 2021. Modular space average monthly rental rates increased 17.3% to $853 for the nine months ended September 30, 2022. Portable storage average units on rent increased by 35,993 units, or 23.5%, for the nine months ended September 30, 2022. Average portable storage monthly rental rates increased 22.1% to $171 for the nine months ended September 30, 2022. The average modular space unit utilization rate during the nine months ended September 30, 2022 was 68.9%, as compared to 70.2% during the same period in 2021. The average portable storage unit utilization rate during the nine months ended September 30, 2022 was 86.4%, as compared to 78.7% during the same period in 2021.</w:t>
      </w:r>
    </w:p>
    <w:p>
      <w:pPr>
        <w:spacing w:after="0" w:line="7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52.6% and 50.3% for the nine months ended September 30, 2022 and 2021, respectively. Our adjusted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gross profit percentage, which excludes the effects of depreciation, was 64.4% and 63.0% for the nine months ended September 30, 2022 and 2021, respectively. Gross profit increased $207.5 million, or 31.9%, to $858.6 million for the nine months ended September 30, 2022 from $651.1 million for the nine months ended September 30, 2021. The increase in gross profit was a result of a $194.2 million increase in leasing gross profit and increased delivery and installation gross profit of $42.0 million, partially offset by decreased new and rental unit sale margins of $1.6 million. The increases in leasing gross profit and delivery and installation gross profit were driven by favorable average monthly rental rates on modular space and portable storage units, increased pricing on delivery and installation, as well as due to higher units on rent and increased activity levels driving higher delivery and installation revenues. Depreciation increased to $192.2 million as a result of fleet acquired through acquisitions and capital investments made in our rental equipment.</w:t>
      </w:r>
    </w:p>
    <w:p>
      <w:pPr>
        <w:spacing w:after="0" w:line="7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SG&amp;A increased $88.6 million, or 24.8%, to $445.3 million for the nine months ended September 30, 2022, compared to $356.7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2021. Employee costs excluding stock compensation increased $45.3 million, or 27.2%, driven by a 13% increase in SG&amp;A headcount to support both organic and inorganic growth, wage increases, and increased variable compensation as a result of the growth achieved. Stock compensation expense increased $8.3 million to $22.6 million for the nine months ended September 30, 2022, compared to $14.3 million for the nine months ended September 30, 2021. Integration costs decreased $10.0 million to $13.2 million for the nine months ended September 30, 2022, compared to $23.2 million for the nine months ended September 30, 2021. The remaining increases were primarily driven by increased economic activity and inflationary increases, including increased occupancy and office costs, legal and professional fees, insurance, travel expenses, and marketing cost increases.</w:t>
      </w:r>
    </w:p>
    <w:p>
      <w:pPr>
        <w:spacing w:after="0" w:line="7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decreased $0.9 million to $50.9 million for the nine months ended September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2022 compared to $51.8 million for the nine months ended September 30, 2021.</w:t>
      </w:r>
    </w:p>
    <w:p>
      <w:pPr>
        <w:spacing w:after="0" w:line="42"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was $0.3 million for the nine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2022 as compared to $2.3 million for the nine months ended September 30, 2021.</w:t>
      </w:r>
    </w:p>
    <w:p>
      <w:pPr>
        <w:spacing w:after="0" w:line="2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In the nine months ended September 30, 2021, the Company recorded $12.0 million of restructuring costs primarily as a result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 termination costs from the elimination of positions due to the Merger. Employee termination costs of $7.2 million were settled in stock, which is non-cash, non-recurring and not included in stock compensation expense.</w:t>
      </w:r>
    </w:p>
    <w:p>
      <w:pPr>
        <w:spacing w:after="0" w:line="4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of $0.2 million remained flat for the nine months ended September 30, 2022 when compared to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2021.</w:t>
      </w:r>
    </w:p>
    <w:p>
      <w:pPr>
        <w:spacing w:after="0" w:line="2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$7.6 million of income for the nine months ended September 30, 2022 compared to $0.2 million of expense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nine months ended September 30, 2021. The increase was primarily attributable to insurance recoveries in the current period related to Hurricane Ida in the Gulf Coast area of the United States in 2021.</w:t>
      </w:r>
    </w:p>
    <w:p>
      <w:pPr>
        <w:spacing w:after="0" w:line="4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$14.6 million to $102.4 million for the nine months ended September 30, 2022 from $87.8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2021 due to both an increase in outstanding borrowings and an increase in the weighted average interest rate for borrowings under the ABL Facility due to increased benchmark interest rates, partially offset by a favorable margin reduction as a result of the June 30, 2022 amendment to the credit facility. See Note 10 to the condensed consolidated financial statements for further discussion of our debt.</w:t>
      </w:r>
    </w:p>
    <w:p>
      <w:pPr>
        <w:spacing w:after="0" w:line="7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Fair Value Loss on Common Stock Warrant Liabilities: </w:t>
      </w:r>
      <w:r>
        <w:rPr>
          <w:rFonts w:ascii="Arial" w:cs="Arial" w:eastAsia="Arial" w:hAnsi="Arial"/>
          <w:sz w:val="15"/>
          <w:szCs w:val="15"/>
          <w:color w:val="auto"/>
        </w:rPr>
        <w:t>The fair value loss on common stock warrant liabilities was $26.6 million for the nine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2021, primarily due to the change in estimated fair value of common stock warrant liabilities. Subsequent to May 2021, no 2015 Private Warrants were outstanding.</w:t>
      </w:r>
    </w:p>
    <w:p>
      <w:pPr>
        <w:spacing w:after="0" w:line="49"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During the nine months ended September 30, 2021, the Company redeemed $123.5 million of the outstanding principal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its 2025 Secured Notes and recorded a loss on extinguishment of debt of $6.0 million. There was no similar transaction in the nine months ended September 30, 2022.</w:t>
      </w:r>
    </w:p>
    <w:p>
      <w:pPr>
        <w:spacing w:after="0" w:line="232"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$34.9 million to $67.2 million for the nine months ended September 30, 2022 compared to $32.3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2021. The increase in expense was driven by the pre-tax income increase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1D2758"/>
        </w:rPr>
        <w:t>Business Segment Results</w:t>
      </w:r>
    </w:p>
    <w:p>
      <w:pPr>
        <w:spacing w:after="0" w:line="12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Following the divestiture of the Tank and Pump segment, the Company operates in three reportable segments as follows: NA Modular, NA Storage and UK Storage. NA Modular represents the activities of the North American modular business. NA Storage represents the activities of the North American portable storage business. UK Storage represents the results of all modular and portable storage operations in the UK.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 representing a shift of approximately $5.0 million of revenue and gross margin per quarter from the NA Modular segment to the NA Storage segment. This adjustment was not made to the historical segment results of prior periods, given its relative immateriality.</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and discussion summarize our reportable segment financial information for the three and nine months ended September 30, 2022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2021.</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September 30, 2022 and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6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3360" w:type="dxa"/>
            <w:vAlign w:val="bottom"/>
            <w:gridSpan w:val="3"/>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Three Months Ended September 30, 2022</w:t>
            </w:r>
          </w:p>
        </w:tc>
        <w:tc>
          <w:tcPr>
            <w:tcW w:w="4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vMerge w:val="continue"/>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50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NA Modular</w:t>
            </w:r>
          </w:p>
        </w:tc>
        <w:tc>
          <w:tcPr>
            <w:tcW w:w="220" w:type="dxa"/>
            <w:vAlign w:val="bottom"/>
            <w:shd w:val="clear" w:color="auto" w:fill="1D2758"/>
          </w:tcPr>
          <w:p>
            <w:pPr>
              <w:spacing w:after="0"/>
              <w:rPr>
                <w:sz w:val="18"/>
                <w:szCs w:val="18"/>
                <w:color w:val="auto"/>
              </w:rPr>
            </w:pPr>
          </w:p>
        </w:tc>
        <w:tc>
          <w:tcPr>
            <w:tcW w:w="156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NA Storage</w:t>
            </w:r>
          </w:p>
        </w:tc>
        <w:tc>
          <w:tcPr>
            <w:tcW w:w="320" w:type="dxa"/>
            <w:vAlign w:val="bottom"/>
            <w:shd w:val="clear" w:color="auto" w:fill="1D2758"/>
          </w:tcPr>
          <w:p>
            <w:pPr>
              <w:spacing w:after="0"/>
              <w:rPr>
                <w:sz w:val="18"/>
                <w:szCs w:val="18"/>
                <w:color w:val="auto"/>
              </w:rPr>
            </w:pPr>
          </w:p>
        </w:tc>
        <w:tc>
          <w:tcPr>
            <w:tcW w:w="148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UK Storage</w:t>
            </w:r>
          </w:p>
        </w:tc>
        <w:tc>
          <w:tcPr>
            <w:tcW w:w="440" w:type="dxa"/>
            <w:vAlign w:val="bottom"/>
            <w:shd w:val="clear" w:color="auto" w:fill="1D2758"/>
          </w:tcPr>
          <w:p>
            <w:pPr>
              <w:spacing w:after="0"/>
              <w:rPr>
                <w:sz w:val="18"/>
                <w:szCs w:val="18"/>
                <w:color w:val="auto"/>
              </w:rPr>
            </w:pPr>
          </w:p>
        </w:tc>
        <w:tc>
          <w:tcPr>
            <w:tcW w:w="1320" w:type="dxa"/>
            <w:vAlign w:val="bottom"/>
            <w:vMerge w:val="restart"/>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4140" w:type="dxa"/>
            <w:vAlign w:val="bottom"/>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500" w:type="dxa"/>
            <w:vAlign w:val="bottom"/>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560" w:type="dxa"/>
            <w:vAlign w:val="bottom"/>
            <w:vMerge w:val="continue"/>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480" w:type="dxa"/>
            <w:vAlign w:val="bottom"/>
            <w:vMerge w:val="continue"/>
            <w:shd w:val="clear" w:color="auto" w:fill="1D2758"/>
          </w:tcPr>
          <w:p>
            <w:pPr>
              <w:spacing w:after="0"/>
              <w:rPr>
                <w:sz w:val="7"/>
                <w:szCs w:val="7"/>
                <w:color w:val="auto"/>
              </w:rPr>
            </w:pPr>
          </w:p>
        </w:tc>
        <w:tc>
          <w:tcPr>
            <w:tcW w:w="44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375,364</w:t>
            </w:r>
          </w:p>
        </w:tc>
        <w:tc>
          <w:tcPr>
            <w:tcW w:w="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202,645</w:t>
            </w:r>
          </w:p>
        </w:tc>
        <w:tc>
          <w:tcPr>
            <w:tcW w:w="32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26,164</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604,173</w:t>
            </w:r>
          </w:p>
        </w:tc>
        <w:tc>
          <w:tcPr>
            <w:tcW w:w="0" w:type="dxa"/>
            <w:vAlign w:val="bottom"/>
          </w:tcPr>
          <w:p>
            <w:pPr>
              <w:spacing w:after="0"/>
              <w:rPr>
                <w:sz w:val="1"/>
                <w:szCs w:val="1"/>
                <w:color w:val="auto"/>
              </w:rPr>
            </w:pPr>
          </w:p>
        </w:tc>
      </w:tr>
      <w:tr>
        <w:trPr>
          <w:trHeight w:val="205"/>
        </w:trPr>
        <w:tc>
          <w:tcPr>
            <w:tcW w:w="41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156,852</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141,035</w:t>
            </w:r>
          </w:p>
        </w:tc>
        <w:tc>
          <w:tcPr>
            <w:tcW w:w="3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3"/>
              <w:spacing w:after="0"/>
              <w:rPr>
                <w:sz w:val="20"/>
                <w:szCs w:val="20"/>
                <w:color w:val="auto"/>
              </w:rPr>
            </w:pPr>
            <w:r>
              <w:rPr>
                <w:rFonts w:ascii="Arial" w:cs="Arial" w:eastAsia="Arial" w:hAnsi="Arial"/>
                <w:sz w:val="15"/>
                <w:szCs w:val="15"/>
                <w:color w:val="auto"/>
              </w:rPr>
              <w:t>16,445</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314,332</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140,673</w:t>
            </w:r>
          </w:p>
        </w:tc>
        <w:tc>
          <w:tcPr>
            <w:tcW w:w="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98,695</w:t>
            </w:r>
          </w:p>
        </w:tc>
        <w:tc>
          <w:tcPr>
            <w:tcW w:w="32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11,971</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251,339</w:t>
            </w:r>
          </w:p>
        </w:tc>
        <w:tc>
          <w:tcPr>
            <w:tcW w:w="0" w:type="dxa"/>
            <w:vAlign w:val="bottom"/>
          </w:tcPr>
          <w:p>
            <w:pPr>
              <w:spacing w:after="0"/>
              <w:rPr>
                <w:sz w:val="1"/>
                <w:szCs w:val="1"/>
                <w:color w:val="auto"/>
              </w:rPr>
            </w:pPr>
          </w:p>
        </w:tc>
      </w:tr>
      <w:tr>
        <w:trPr>
          <w:trHeight w:val="205"/>
        </w:trPr>
        <w:tc>
          <w:tcPr>
            <w:tcW w:w="41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81,052</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41,246</w:t>
            </w:r>
          </w:p>
        </w:tc>
        <w:tc>
          <w:tcPr>
            <w:tcW w:w="3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3"/>
              <w:spacing w:after="0"/>
              <w:rPr>
                <w:sz w:val="20"/>
                <w:szCs w:val="20"/>
                <w:color w:val="auto"/>
              </w:rPr>
            </w:pPr>
            <w:r>
              <w:rPr>
                <w:rFonts w:ascii="Arial" w:cs="Arial" w:eastAsia="Arial" w:hAnsi="Arial"/>
                <w:sz w:val="15"/>
                <w:szCs w:val="15"/>
                <w:color w:val="auto"/>
              </w:rPr>
              <w:t>4,605</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126,903</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6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87,364</w:t>
            </w:r>
          </w:p>
        </w:tc>
        <w:tc>
          <w:tcPr>
            <w:tcW w:w="220" w:type="dxa"/>
            <w:vAlign w:val="bottom"/>
            <w:shd w:val="clear" w:color="auto" w:fill="DBDBDB"/>
          </w:tcPr>
          <w:p>
            <w:pPr>
              <w:spacing w:after="0"/>
              <w:rPr>
                <w:sz w:val="18"/>
                <w:szCs w:val="18"/>
                <w:color w:val="auto"/>
              </w:rPr>
            </w:pP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18,052</w:t>
            </w:r>
          </w:p>
        </w:tc>
        <w:tc>
          <w:tcPr>
            <w:tcW w:w="32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8,569</w:t>
            </w:r>
          </w:p>
        </w:tc>
        <w:tc>
          <w:tcPr>
            <w:tcW w:w="4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113,985</w:t>
            </w:r>
          </w:p>
        </w:tc>
        <w:tc>
          <w:tcPr>
            <w:tcW w:w="0" w:type="dxa"/>
            <w:vAlign w:val="bottom"/>
          </w:tcPr>
          <w:p>
            <w:pPr>
              <w:spacing w:after="0"/>
              <w:rPr>
                <w:sz w:val="1"/>
                <w:szCs w:val="1"/>
                <w:color w:val="auto"/>
              </w:rPr>
            </w:pPr>
          </w:p>
        </w:tc>
      </w:tr>
      <w:tr>
        <w:trPr>
          <w:trHeight w:val="205"/>
        </w:trPr>
        <w:tc>
          <w:tcPr>
            <w:tcW w:w="41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67.8 %</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73.7 %</w:t>
            </w:r>
          </w:p>
        </w:tc>
        <w:tc>
          <w:tcPr>
            <w:tcW w:w="3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71.5 %</w:t>
            </w:r>
          </w:p>
        </w:tc>
        <w:tc>
          <w:tcPr>
            <w:tcW w:w="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68.9 %</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991</w:t>
            </w:r>
          </w:p>
        </w:tc>
        <w:tc>
          <w:tcPr>
            <w:tcW w:w="2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746</w:t>
            </w:r>
          </w:p>
        </w:tc>
        <w:tc>
          <w:tcPr>
            <w:tcW w:w="32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391</w:t>
            </w:r>
          </w:p>
        </w:tc>
        <w:tc>
          <w:tcPr>
            <w:tcW w:w="44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907</w:t>
            </w:r>
          </w:p>
        </w:tc>
        <w:tc>
          <w:tcPr>
            <w:tcW w:w="0" w:type="dxa"/>
            <w:vAlign w:val="bottom"/>
          </w:tcPr>
          <w:p>
            <w:pPr>
              <w:spacing w:after="0"/>
              <w:rPr>
                <w:sz w:val="1"/>
                <w:szCs w:val="1"/>
                <w:color w:val="auto"/>
              </w:rPr>
            </w:pPr>
          </w:p>
        </w:tc>
      </w:tr>
      <w:tr>
        <w:trPr>
          <w:trHeight w:val="205"/>
        </w:trPr>
        <w:tc>
          <w:tcPr>
            <w:tcW w:w="41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60" w:type="dxa"/>
            <w:vAlign w:val="bottom"/>
          </w:tcPr>
          <w:p>
            <w:pPr>
              <w:spacing w:after="0"/>
              <w:rPr>
                <w:sz w:val="17"/>
                <w:szCs w:val="17"/>
                <w:color w:val="auto"/>
              </w:rPr>
            </w:pP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556</w:t>
            </w:r>
          </w:p>
        </w:tc>
        <w:tc>
          <w:tcPr>
            <w:tcW w:w="220" w:type="dxa"/>
            <w:vAlign w:val="bottom"/>
          </w:tcPr>
          <w:p>
            <w:pPr>
              <w:spacing w:after="0"/>
              <w:rPr>
                <w:sz w:val="17"/>
                <w:szCs w:val="17"/>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175,946</w:t>
            </w:r>
          </w:p>
        </w:tc>
        <w:tc>
          <w:tcPr>
            <w:tcW w:w="320" w:type="dxa"/>
            <w:vAlign w:val="bottom"/>
          </w:tcPr>
          <w:p>
            <w:pPr>
              <w:spacing w:after="0"/>
              <w:rPr>
                <w:sz w:val="17"/>
                <w:szCs w:val="17"/>
                <w:color w:val="auto"/>
              </w:rPr>
            </w:pPr>
          </w:p>
        </w:tc>
        <w:tc>
          <w:tcPr>
            <w:tcW w:w="1480" w:type="dxa"/>
            <w:vAlign w:val="bottom"/>
          </w:tcPr>
          <w:p>
            <w:pPr>
              <w:jc w:val="right"/>
              <w:ind w:right="163"/>
              <w:spacing w:after="0"/>
              <w:rPr>
                <w:sz w:val="20"/>
                <w:szCs w:val="20"/>
                <w:color w:val="auto"/>
              </w:rPr>
            </w:pPr>
            <w:r>
              <w:rPr>
                <w:rFonts w:ascii="Arial" w:cs="Arial" w:eastAsia="Arial" w:hAnsi="Arial"/>
                <w:sz w:val="15"/>
                <w:szCs w:val="15"/>
                <w:color w:val="auto"/>
              </w:rPr>
              <w:t>27,794</w:t>
            </w:r>
          </w:p>
        </w:tc>
        <w:tc>
          <w:tcPr>
            <w:tcW w:w="440" w:type="dxa"/>
            <w:vAlign w:val="bottom"/>
          </w:tcPr>
          <w:p>
            <w:pPr>
              <w:spacing w:after="0"/>
              <w:rPr>
                <w:sz w:val="17"/>
                <w:szCs w:val="17"/>
                <w:color w:val="auto"/>
              </w:rPr>
            </w:pP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204,296</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63.1 %</w:t>
            </w:r>
          </w:p>
        </w:tc>
        <w:tc>
          <w:tcPr>
            <w:tcW w:w="22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88.8 %</w:t>
            </w:r>
          </w:p>
        </w:tc>
        <w:tc>
          <w:tcPr>
            <w:tcW w:w="32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89.7 %</w:t>
            </w:r>
          </w:p>
        </w:tc>
        <w:tc>
          <w:tcPr>
            <w:tcW w:w="4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88.9 %</w:t>
            </w:r>
          </w:p>
        </w:tc>
        <w:tc>
          <w:tcPr>
            <w:tcW w:w="0" w:type="dxa"/>
            <w:vAlign w:val="bottom"/>
          </w:tcPr>
          <w:p>
            <w:pPr>
              <w:spacing w:after="0"/>
              <w:rPr>
                <w:sz w:val="1"/>
                <w:szCs w:val="1"/>
                <w:color w:val="auto"/>
              </w:rPr>
            </w:pPr>
          </w:p>
        </w:tc>
      </w:tr>
      <w:tr>
        <w:trPr>
          <w:trHeight w:val="205"/>
        </w:trPr>
        <w:tc>
          <w:tcPr>
            <w:tcW w:w="41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227</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197</w:t>
            </w:r>
          </w:p>
        </w:tc>
        <w:tc>
          <w:tcPr>
            <w:tcW w:w="3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3"/>
              <w:spacing w:after="0"/>
              <w:rPr>
                <w:sz w:val="20"/>
                <w:szCs w:val="20"/>
                <w:color w:val="auto"/>
              </w:rPr>
            </w:pPr>
            <w:r>
              <w:rPr>
                <w:rFonts w:ascii="Arial" w:cs="Arial" w:eastAsia="Arial" w:hAnsi="Arial"/>
                <w:sz w:val="15"/>
                <w:szCs w:val="15"/>
                <w:color w:val="auto"/>
              </w:rPr>
              <w:t>88</w:t>
            </w:r>
          </w:p>
        </w:tc>
        <w:tc>
          <w:tcPr>
            <w:tcW w:w="4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bl>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0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3400" w:type="dxa"/>
            <w:vAlign w:val="bottom"/>
            <w:gridSpan w:val="3"/>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Three Months Ended September 30, 2021</w:t>
            </w:r>
          </w:p>
        </w:tc>
        <w:tc>
          <w:tcPr>
            <w:tcW w:w="4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r>
      <w:tr>
        <w:trPr>
          <w:trHeight w:val="206"/>
        </w:trPr>
        <w:tc>
          <w:tcPr>
            <w:tcW w:w="4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60" w:type="dxa"/>
            <w:vAlign w:val="bottom"/>
            <w:shd w:val="clear" w:color="auto" w:fill="1D2758"/>
          </w:tcPr>
          <w:p>
            <w:pPr>
              <w:spacing w:after="0"/>
              <w:rPr>
                <w:sz w:val="17"/>
                <w:szCs w:val="17"/>
                <w:color w:val="auto"/>
              </w:rPr>
            </w:pPr>
          </w:p>
        </w:tc>
        <w:tc>
          <w:tcPr>
            <w:tcW w:w="150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NA Modular</w:t>
            </w:r>
          </w:p>
        </w:tc>
        <w:tc>
          <w:tcPr>
            <w:tcW w:w="220" w:type="dxa"/>
            <w:vAlign w:val="bottom"/>
            <w:shd w:val="clear" w:color="auto" w:fill="1D2758"/>
          </w:tcPr>
          <w:p>
            <w:pPr>
              <w:spacing w:after="0"/>
              <w:rPr>
                <w:sz w:val="17"/>
                <w:szCs w:val="17"/>
                <w:color w:val="auto"/>
              </w:rPr>
            </w:pPr>
          </w:p>
        </w:tc>
        <w:tc>
          <w:tcPr>
            <w:tcW w:w="158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NA Storage</w:t>
            </w:r>
          </w:p>
        </w:tc>
        <w:tc>
          <w:tcPr>
            <w:tcW w:w="320" w:type="dxa"/>
            <w:vAlign w:val="bottom"/>
            <w:shd w:val="clear" w:color="auto" w:fill="1D2758"/>
          </w:tcPr>
          <w:p>
            <w:pPr>
              <w:spacing w:after="0"/>
              <w:rPr>
                <w:sz w:val="17"/>
                <w:szCs w:val="17"/>
                <w:color w:val="auto"/>
              </w:rPr>
            </w:pPr>
          </w:p>
        </w:tc>
        <w:tc>
          <w:tcPr>
            <w:tcW w:w="150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UK Storage</w:t>
            </w:r>
          </w:p>
        </w:tc>
        <w:tc>
          <w:tcPr>
            <w:tcW w:w="44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299,051</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133,897</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28,099</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461,047</w:t>
            </w: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127,854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63"/>
              <w:spacing w:after="0"/>
              <w:rPr>
                <w:sz w:val="20"/>
                <w:szCs w:val="20"/>
                <w:color w:val="auto"/>
              </w:rPr>
            </w:pPr>
            <w:r>
              <w:rPr>
                <w:rFonts w:ascii="Arial" w:cs="Arial" w:eastAsia="Arial" w:hAnsi="Arial"/>
                <w:sz w:val="15"/>
                <w:szCs w:val="15"/>
                <w:color w:val="auto"/>
              </w:rPr>
              <w:t>92,496</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18,876</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239,226</w:t>
            </w:r>
          </w:p>
        </w:tc>
      </w:tr>
      <w:tr>
        <w:trPr>
          <w:trHeight w:val="207"/>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106,825</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59,123</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13,255</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179,203</w:t>
            </w: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31,789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63"/>
              <w:spacing w:after="0"/>
              <w:rPr>
                <w:sz w:val="20"/>
                <w:szCs w:val="20"/>
                <w:color w:val="auto"/>
              </w:rPr>
            </w:pPr>
            <w:r>
              <w:rPr>
                <w:rFonts w:ascii="Arial" w:cs="Arial" w:eastAsia="Arial" w:hAnsi="Arial"/>
                <w:sz w:val="15"/>
                <w:szCs w:val="15"/>
                <w:color w:val="auto"/>
              </w:rPr>
              <w:t>11,920</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11,649</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55,358</w:t>
            </w:r>
          </w:p>
        </w:tc>
      </w:tr>
      <w:tr>
        <w:trPr>
          <w:trHeight w:val="207"/>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6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84,218</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16,316</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9,298</w:t>
            </w:r>
          </w:p>
        </w:tc>
        <w:tc>
          <w:tcPr>
            <w:tcW w:w="4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109,832</w:t>
            </w: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67.6 %</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77.6 %</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83.4 %</w:t>
            </w:r>
          </w:p>
        </w:tc>
        <w:tc>
          <w:tcPr>
            <w:tcW w:w="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70.1 %</w:t>
            </w:r>
          </w:p>
        </w:tc>
      </w:tr>
      <w:tr>
        <w:trPr>
          <w:trHeight w:val="207"/>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834</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602</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454</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767</w:t>
            </w: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60" w:type="dxa"/>
            <w:vAlign w:val="bottom"/>
          </w:tcPr>
          <w:p>
            <w:pPr>
              <w:spacing w:after="0"/>
              <w:rPr>
                <w:sz w:val="17"/>
                <w:szCs w:val="17"/>
                <w:color w:val="auto"/>
              </w:rPr>
            </w:pP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493</w:t>
            </w:r>
          </w:p>
        </w:tc>
        <w:tc>
          <w:tcPr>
            <w:tcW w:w="220" w:type="dxa"/>
            <w:vAlign w:val="bottom"/>
          </w:tcPr>
          <w:p>
            <w:pPr>
              <w:spacing w:after="0"/>
              <w:rPr>
                <w:sz w:val="17"/>
                <w:szCs w:val="17"/>
                <w:color w:val="auto"/>
              </w:rPr>
            </w:pPr>
          </w:p>
        </w:tc>
        <w:tc>
          <w:tcPr>
            <w:tcW w:w="1580" w:type="dxa"/>
            <w:vAlign w:val="bottom"/>
          </w:tcPr>
          <w:p>
            <w:pPr>
              <w:jc w:val="right"/>
              <w:ind w:right="163"/>
              <w:spacing w:after="0"/>
              <w:rPr>
                <w:sz w:val="20"/>
                <w:szCs w:val="20"/>
                <w:color w:val="auto"/>
              </w:rPr>
            </w:pPr>
            <w:r>
              <w:rPr>
                <w:rFonts w:ascii="Arial" w:cs="Arial" w:eastAsia="Arial" w:hAnsi="Arial"/>
                <w:sz w:val="15"/>
                <w:szCs w:val="15"/>
                <w:color w:val="auto"/>
              </w:rPr>
              <w:t>137,123</w:t>
            </w:r>
          </w:p>
        </w:tc>
        <w:tc>
          <w:tcPr>
            <w:tcW w:w="320" w:type="dxa"/>
            <w:vAlign w:val="bottom"/>
          </w:tcPr>
          <w:p>
            <w:pPr>
              <w:spacing w:after="0"/>
              <w:rPr>
                <w:sz w:val="17"/>
                <w:szCs w:val="17"/>
                <w:color w:val="auto"/>
              </w:rPr>
            </w:pP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25,632</w:t>
            </w:r>
          </w:p>
        </w:tc>
        <w:tc>
          <w:tcPr>
            <w:tcW w:w="440" w:type="dxa"/>
            <w:vAlign w:val="bottom"/>
          </w:tcPr>
          <w:p>
            <w:pPr>
              <w:spacing w:after="0"/>
              <w:rPr>
                <w:sz w:val="17"/>
                <w:szCs w:val="17"/>
                <w:color w:val="auto"/>
              </w:rPr>
            </w:pP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163,248</w:t>
            </w:r>
          </w:p>
        </w:tc>
      </w:tr>
      <w:tr>
        <w:trPr>
          <w:trHeight w:val="207"/>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48.0 %</w:t>
            </w:r>
          </w:p>
        </w:tc>
        <w:tc>
          <w:tcPr>
            <w:tcW w:w="2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83.2 %</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89.1 %</w:t>
            </w:r>
          </w:p>
        </w:tc>
        <w:tc>
          <w:tcPr>
            <w:tcW w:w="4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83.9 %</w:t>
            </w: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179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163"/>
              <w:spacing w:after="0"/>
              <w:rPr>
                <w:sz w:val="20"/>
                <w:szCs w:val="20"/>
                <w:color w:val="auto"/>
              </w:rPr>
            </w:pPr>
            <w:r>
              <w:rPr>
                <w:rFonts w:ascii="Arial" w:cs="Arial" w:eastAsia="Arial" w:hAnsi="Arial"/>
                <w:sz w:val="15"/>
                <w:szCs w:val="15"/>
                <w:color w:val="auto"/>
              </w:rPr>
              <w:t>155</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90</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145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Modular</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$76.3 million, or 25.5%, to $375.4 million for the three months ended September 30, 2022 from $299.1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2021. The increase was primarily the result of a $51.6 million, or 23.5%, increase in leasing revenue, a $26.4 million, or 45.5%, increase in modular delivery and installation revenue, a $4.0 million, or 51.3%, increase in rental unit sales revenue. These were partially offset by a $5.6 million, or 41.5%, decrease in new unit sales. Average modular space monthly rental rates increased 18.8% for the three months ended September 30, 2022 to $991 driven by the continuation of our long-term price optimization initiative and VAPS penetration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color w:val="auto"/>
        </w:rPr>
        <w:t>across our portfolio. Average modular space units on rent increased by 3,146 units, or 3.7%, year over year primarily due to acquisitions.</w:t>
      </w:r>
    </w:p>
    <w:p>
      <w:pPr>
        <w:spacing w:after="0" w:line="11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$29.0 million, or 22.7%, to $156.9 million for the three months ended September 30, 2022 from $127.9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September 30, 2021. Gross profit percentage contracted 100 bps to 41.8%. The increase in gross profit was driven by higher leasing gross profit, which increased $29.5 million, or 18.4%, driven by improved pricing including VAPS. The increase in gross profit from leasing for the three months ended September 30, 2022 was further complemented by an $11.6 million increase in delivery and installation gross profit, and a $2.0 million increase in rental unit sales gross profit. These increases were partially offset by a $13.6 million increase in depreciation of rental equipment related to capital investments made in our rental equipment and due to fleet acquired as part of acquisitions, and a $0.3 million decrease in new unit sales gross profit.</w:t>
      </w:r>
    </w:p>
    <w:p>
      <w:pPr>
        <w:spacing w:after="0" w:line="73"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$33.9 million, or 31.8%, to $140.7 million for the three months ended September 30, 2022 from $106.8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September 30, 2021. Adjusted EBITDA margin percentage increased 176 bps to 37.5%. The increase was driven by higher leasing and delivery and installation gross profits discussed above. SG&amp;A, excluding discrete items, increased $12.8 million, or 19.2%, for the three months ended September 30, 2022, as compared to the three months ended September 30, 2021 to support higher staffing levels for both organic and inorganic growth, wage increases, and increased variable compensation as a result of the growth achieved, increased office and occupancy costs, increased travel expenses, and increased subscription, legal and professional fees.</w:t>
      </w:r>
    </w:p>
    <w:p>
      <w:pPr>
        <w:spacing w:after="0" w:line="6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$49.3 million, or 155.0%, to $81.1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September 30, 2022 from $31.8 million for the three months ended September 30, 2021. Net Fleet CAPEX increased $45.3 million, or 188.8%, to $69.2 million. These increases were driven by increased refurbishments, and increased new fleet and VAPS purchase volumes, further increased by inflationary pressures.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Storage</w:t>
      </w:r>
    </w:p>
    <w:p>
      <w:pPr>
        <w:spacing w:after="0" w:line="10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$68.7 million, or 51.3%, to $202.6 million for the three months ended September 30, 2022 from $133.9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September 30, 2021. Leasing revenues increased $55.4 million in the current quarter compared to the prior-year quarter. Modular space average units on rent increased 10.6% and average modular space monthly rental rates increased 23.9% year-over-year driven primarily by increased pricing on new deliveries. Portable storage units on rent increased 38,823, or 28.3%. Increases in organic activity drove an increase in average portable storage units on rent of approximately 14.0% or 19,000 units on rent, including an acceleration earlier into the third quarter of our seasonal retail business. The remaining increase of approximately 20,000 units on rent was driven by units added in recent acquisitions. Average portable storage monthly rental rates increased 27.1% year-over-year as a result of our price management tools and processes, further supported by high utilization, and by an acceleration earlier into the third quarter of our seasonal retail business. Delivery and installation revenues increased $14.3 million year-over-year driven by increased demand for new project deliveries, and by increased pricing on new deliveries and returns as compared to 2021. Sales revenues decreased $1.0 million compared to the prior-year quarter.</w:t>
      </w:r>
    </w:p>
    <w:p>
      <w:pPr>
        <w:spacing w:after="0" w:line="78"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$48.5 million, or 52.4%, to $141.0 million for the three months ended September 30, 2022 compared to $92.5</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for the three months ended September 30, 2021. Gross profit percentage increased 50 bps to 69.6%. Gross profit on leasing activity increased by $43.5 million year-over-year driven by both increased volume and increased pricing as described above. For delivery and installation, gross profit increased $8.4 million. Sales gross profit decreased by $0.9 million to $1.2 million.</w:t>
      </w:r>
    </w:p>
    <w:p>
      <w:pPr>
        <w:spacing w:after="0" w:line="5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$39.6 million, or 66.9%, to $98.7 million for the three months ended September 30, 2022 from $59.1</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for the three months ended September 30, 2021. Adjusted EBITDA margin percentage increased 455 bps to 48.7%. The increase in Adjusted EBITDA was driven primarily by increased leasing gross profit as described above, partially offset by increased SG&amp;A. Excluding acquisition-related costs and stock-based compensation, SG&amp;A increased $10.5 million in this segment. The increase was comprised of increased costs for personnel, including commissions and other variable compensation to support increased commercial activity, increased travel expenses, and increased subscription and professional fees.</w:t>
      </w:r>
    </w:p>
    <w:p>
      <w:pPr>
        <w:spacing w:after="0" w:line="58"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increased $29.3 million, or 246.2%, to $41.2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September 30, 2022 from $11.9 million for the three months ended September 30, 2021. Net Fleet CAPEX increased $30.7 million, or 347.6%, to $39.5 million. The increase in purchases of rental equipment and refurbishments was driven primarily by increased purchases of portable storage containers during the period to support organic growth.</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UK Storage</w:t>
      </w:r>
    </w:p>
    <w:p>
      <w:pPr>
        <w:spacing w:after="0" w:line="10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decreased $1.9 million, or 6.8%, to $26.2 million for the three months ended September 30, 2022 from $28.1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September 30, 2021 due to the strengthening of the U.S. Dollar. In local currency, total revenues increased £1.8 million to £22.2 million. Leasing revenues decreased $2.0 million in the current quarter compared to the prior-year quarter. In local currency, leasing revenues increased £1.0 million to £16.7 million. Modular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1" w:name="page42"/>
    <w:bookmarkEnd w:id="41"/>
    <w:p>
      <w:pPr>
        <w:jc w:val="both"/>
        <w:spacing w:after="0" w:line="271" w:lineRule="auto"/>
        <w:rPr>
          <w:sz w:val="20"/>
          <w:szCs w:val="20"/>
          <w:color w:val="auto"/>
        </w:rPr>
      </w:pPr>
      <w:r>
        <w:rPr>
          <w:rFonts w:ascii="Arial" w:cs="Arial" w:eastAsia="Arial" w:hAnsi="Arial"/>
          <w:sz w:val="15"/>
          <w:szCs w:val="15"/>
          <w:color w:val="auto"/>
        </w:rPr>
        <w:t>average units on rent decreased 7.8%, while portable storage units on rent increased 8.4%. Average monthly rental rates for modular space units decreased 13.9% and average monthly rental rates for portable storage units decreased 2.2% year-over-year, including the impacts of currency fluctuations. In local currency, average monthly rental rates for modular space units increased 0.3% and average monthly rental rates for portable storage increased 13.6% year-over-year. Delivery and installation revenues increased $0.2 million year-over-year. In local currency, delivery and installation revenues increased £0.9 million to £5.0 million. Sales revenues decreased $0.1 million compared to the prior-year quarter. In local currency, sales revenues decreased £0.1 million to £0.6 million.</w:t>
      </w:r>
    </w:p>
    <w:p>
      <w:pPr>
        <w:spacing w:after="0" w:line="56"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decreased $2.5 million, or 13.2%, for the three months ended September 30, 2022 to $16.4 million from $18.9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September 30, 2021 due to the strengthening of the U.S. Dollar. In local currency, gross profit increased £0.3 million, or 2.0%.</w:t>
      </w:r>
    </w:p>
    <w:p>
      <w:pPr>
        <w:spacing w:after="0" w:line="5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decreased $1.3 million, or 9.8%, to $12.0 million for three months ended September 30, 2022 from $13.3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September 30, 2021 and the Adjusted EBITDA margin percentage contracted to 45.8% from 47.2%. The decrease resulted from the unfavorable gross profit discussed above driven by unfavorable currency fluctuations, partially offset by decreased SG&amp;A of $1.1 million. In local currency, Adjusted EBITDA increased £0.6 million, or 5.7%.</w:t>
      </w:r>
    </w:p>
    <w:p>
      <w:pPr>
        <w:spacing w:after="0" w:line="5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decreased $7.0 million, or 60.3%, to $4.6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September 30, 2022 from $11.6 million for the three months ended September 30, 2021. Net Fleet CAPEX decreased $7.1 million, or 62.7%, to $4.2 million. The decrease in purchases of rental equipment and refurbishments was driven primarily by decreased purchases of portable storage containers as compared to the prior year.</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Nine Months Ended September 30, 2022 and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8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3380" w:type="dxa"/>
            <w:vAlign w:val="bottom"/>
            <w:gridSpan w:val="3"/>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Nine Months Ended September 30, 2022</w:t>
            </w:r>
          </w:p>
        </w:tc>
        <w:tc>
          <w:tcPr>
            <w:tcW w:w="4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vMerge w:val="continue"/>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50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8"/>
                <w:szCs w:val="18"/>
                <w:color w:val="auto"/>
              </w:rPr>
            </w:pPr>
          </w:p>
        </w:tc>
        <w:tc>
          <w:tcPr>
            <w:tcW w:w="156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NA Storage</w:t>
            </w:r>
          </w:p>
        </w:tc>
        <w:tc>
          <w:tcPr>
            <w:tcW w:w="320" w:type="dxa"/>
            <w:vAlign w:val="bottom"/>
            <w:shd w:val="clear" w:color="auto" w:fill="1D2758"/>
          </w:tcPr>
          <w:p>
            <w:pPr>
              <w:spacing w:after="0"/>
              <w:rPr>
                <w:sz w:val="18"/>
                <w:szCs w:val="18"/>
                <w:color w:val="auto"/>
              </w:rPr>
            </w:pPr>
          </w:p>
        </w:tc>
        <w:tc>
          <w:tcPr>
            <w:tcW w:w="150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UK Storage</w:t>
            </w:r>
          </w:p>
        </w:tc>
        <w:tc>
          <w:tcPr>
            <w:tcW w:w="440" w:type="dxa"/>
            <w:vAlign w:val="bottom"/>
            <w:shd w:val="clear" w:color="auto" w:fill="1D2758"/>
          </w:tcPr>
          <w:p>
            <w:pPr>
              <w:spacing w:after="0"/>
              <w:rPr>
                <w:sz w:val="18"/>
                <w:szCs w:val="18"/>
                <w:color w:val="auto"/>
              </w:rPr>
            </w:pPr>
          </w:p>
        </w:tc>
        <w:tc>
          <w:tcPr>
            <w:tcW w:w="1320" w:type="dxa"/>
            <w:vAlign w:val="bottom"/>
            <w:vMerge w:val="restart"/>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4080" w:type="dxa"/>
            <w:vAlign w:val="bottom"/>
            <w:shd w:val="clear" w:color="auto" w:fill="1D2758"/>
          </w:tcPr>
          <w:p>
            <w:pPr>
              <w:spacing w:after="0"/>
              <w:rPr>
                <w:sz w:val="7"/>
                <w:szCs w:val="7"/>
                <w:color w:val="auto"/>
              </w:rPr>
            </w:pPr>
          </w:p>
        </w:tc>
        <w:tc>
          <w:tcPr>
            <w:tcW w:w="280" w:type="dxa"/>
            <w:vAlign w:val="bottom"/>
            <w:shd w:val="clear" w:color="auto" w:fill="1D2758"/>
          </w:tcPr>
          <w:p>
            <w:pPr>
              <w:spacing w:after="0"/>
              <w:rPr>
                <w:sz w:val="7"/>
                <w:szCs w:val="7"/>
                <w:color w:val="auto"/>
              </w:rPr>
            </w:pPr>
          </w:p>
        </w:tc>
        <w:tc>
          <w:tcPr>
            <w:tcW w:w="150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560" w:type="dxa"/>
            <w:vAlign w:val="bottom"/>
            <w:vMerge w:val="continue"/>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500" w:type="dxa"/>
            <w:vAlign w:val="bottom"/>
            <w:vMerge w:val="continue"/>
            <w:shd w:val="clear" w:color="auto" w:fill="1D2758"/>
          </w:tcPr>
          <w:p>
            <w:pPr>
              <w:spacing w:after="0"/>
              <w:rPr>
                <w:sz w:val="7"/>
                <w:szCs w:val="7"/>
                <w:color w:val="auto"/>
              </w:rPr>
            </w:pPr>
          </w:p>
        </w:tc>
        <w:tc>
          <w:tcPr>
            <w:tcW w:w="44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1,022,720</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529,347</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80,272</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1,632,339</w:t>
            </w:r>
          </w:p>
        </w:tc>
        <w:tc>
          <w:tcPr>
            <w:tcW w:w="0" w:type="dxa"/>
            <w:vAlign w:val="bottom"/>
          </w:tcPr>
          <w:p>
            <w:pPr>
              <w:spacing w:after="0"/>
              <w:rPr>
                <w:sz w:val="1"/>
                <w:szCs w:val="1"/>
                <w:color w:val="auto"/>
              </w:rPr>
            </w:pPr>
          </w:p>
        </w:tc>
      </w:tr>
      <w:tr>
        <w:trPr>
          <w:trHeight w:val="205"/>
        </w:trPr>
        <w:tc>
          <w:tcPr>
            <w:tcW w:w="40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439,573</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367,585</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51,457</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858,615</w:t>
            </w:r>
          </w:p>
        </w:tc>
        <w:tc>
          <w:tcPr>
            <w:tcW w:w="0" w:type="dxa"/>
            <w:vAlign w:val="bottom"/>
          </w:tcPr>
          <w:p>
            <w:pPr>
              <w:spacing w:after="0"/>
              <w:rPr>
                <w:sz w:val="1"/>
                <w:szCs w:val="1"/>
                <w:color w:val="auto"/>
              </w:rPr>
            </w:pPr>
          </w:p>
        </w:tc>
      </w:tr>
      <w:tr>
        <w:trPr>
          <w:trHeight w:val="207"/>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372,502</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243,282</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36,745</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652,529</w:t>
            </w:r>
          </w:p>
        </w:tc>
        <w:tc>
          <w:tcPr>
            <w:tcW w:w="0" w:type="dxa"/>
            <w:vAlign w:val="bottom"/>
          </w:tcPr>
          <w:p>
            <w:pPr>
              <w:spacing w:after="0"/>
              <w:rPr>
                <w:sz w:val="1"/>
                <w:szCs w:val="1"/>
                <w:color w:val="auto"/>
              </w:rPr>
            </w:pPr>
          </w:p>
        </w:tc>
      </w:tr>
      <w:tr>
        <w:trPr>
          <w:trHeight w:val="205"/>
        </w:trPr>
        <w:tc>
          <w:tcPr>
            <w:tcW w:w="40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221,111</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95,699</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21,824</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338,634</w:t>
            </w:r>
          </w:p>
        </w:tc>
        <w:tc>
          <w:tcPr>
            <w:tcW w:w="0" w:type="dxa"/>
            <w:vAlign w:val="bottom"/>
          </w:tcPr>
          <w:p>
            <w:pPr>
              <w:spacing w:after="0"/>
              <w:rPr>
                <w:sz w:val="1"/>
                <w:szCs w:val="1"/>
                <w:color w:val="auto"/>
              </w:rPr>
            </w:pPr>
          </w:p>
        </w:tc>
      </w:tr>
      <w:tr>
        <w:trPr>
          <w:trHeight w:val="207"/>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8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86,310</w:t>
            </w:r>
          </w:p>
        </w:tc>
        <w:tc>
          <w:tcPr>
            <w:tcW w:w="240" w:type="dxa"/>
            <w:vAlign w:val="bottom"/>
            <w:shd w:val="clear" w:color="auto" w:fill="DBDBDB"/>
          </w:tcPr>
          <w:p>
            <w:pPr>
              <w:spacing w:after="0"/>
              <w:rPr>
                <w:sz w:val="18"/>
                <w:szCs w:val="18"/>
                <w:color w:val="auto"/>
              </w:rPr>
            </w:pP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18,223</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8,470</w:t>
            </w:r>
          </w:p>
        </w:tc>
        <w:tc>
          <w:tcPr>
            <w:tcW w:w="4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113,003</w:t>
            </w:r>
          </w:p>
        </w:tc>
        <w:tc>
          <w:tcPr>
            <w:tcW w:w="0" w:type="dxa"/>
            <w:vAlign w:val="bottom"/>
          </w:tcPr>
          <w:p>
            <w:pPr>
              <w:spacing w:after="0"/>
              <w:rPr>
                <w:sz w:val="1"/>
                <w:szCs w:val="1"/>
                <w:color w:val="auto"/>
              </w:rPr>
            </w:pPr>
          </w:p>
        </w:tc>
      </w:tr>
      <w:tr>
        <w:trPr>
          <w:trHeight w:val="205"/>
        </w:trPr>
        <w:tc>
          <w:tcPr>
            <w:tcW w:w="408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67.5 %</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74.7 %</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72.0 %</w:t>
            </w:r>
          </w:p>
        </w:tc>
        <w:tc>
          <w:tcPr>
            <w:tcW w:w="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68.9 %</w:t>
            </w:r>
          </w:p>
        </w:tc>
        <w:tc>
          <w:tcPr>
            <w:tcW w:w="0" w:type="dxa"/>
            <w:vAlign w:val="bottom"/>
          </w:tcPr>
          <w:p>
            <w:pPr>
              <w:spacing w:after="0"/>
              <w:rPr>
                <w:sz w:val="1"/>
                <w:szCs w:val="1"/>
                <w:color w:val="auto"/>
              </w:rPr>
            </w:pPr>
          </w:p>
        </w:tc>
      </w:tr>
      <w:tr>
        <w:trPr>
          <w:trHeight w:val="207"/>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936</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673</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409</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853</w:t>
            </w:r>
          </w:p>
        </w:tc>
        <w:tc>
          <w:tcPr>
            <w:tcW w:w="0" w:type="dxa"/>
            <w:vAlign w:val="bottom"/>
          </w:tcPr>
          <w:p>
            <w:pPr>
              <w:spacing w:after="0"/>
              <w:rPr>
                <w:sz w:val="1"/>
                <w:szCs w:val="1"/>
                <w:color w:val="auto"/>
              </w:rPr>
            </w:pPr>
          </w:p>
        </w:tc>
      </w:tr>
      <w:tr>
        <w:trPr>
          <w:trHeight w:val="205"/>
        </w:trPr>
        <w:tc>
          <w:tcPr>
            <w:tcW w:w="408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80" w:type="dxa"/>
            <w:vAlign w:val="bottom"/>
          </w:tcPr>
          <w:p>
            <w:pPr>
              <w:spacing w:after="0"/>
              <w:rPr>
                <w:sz w:val="17"/>
                <w:szCs w:val="17"/>
                <w:color w:val="auto"/>
              </w:rPr>
            </w:pP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498</w:t>
            </w:r>
          </w:p>
        </w:tc>
        <w:tc>
          <w:tcPr>
            <w:tcW w:w="240" w:type="dxa"/>
            <w:vAlign w:val="bottom"/>
          </w:tcPr>
          <w:p>
            <w:pPr>
              <w:spacing w:after="0"/>
              <w:rPr>
                <w:sz w:val="17"/>
                <w:szCs w:val="17"/>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161,331</w:t>
            </w:r>
          </w:p>
        </w:tc>
        <w:tc>
          <w:tcPr>
            <w:tcW w:w="320" w:type="dxa"/>
            <w:vAlign w:val="bottom"/>
          </w:tcPr>
          <w:p>
            <w:pPr>
              <w:spacing w:after="0"/>
              <w:rPr>
                <w:sz w:val="17"/>
                <w:szCs w:val="17"/>
                <w:color w:val="auto"/>
              </w:rPr>
            </w:pP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27,612</w:t>
            </w:r>
          </w:p>
        </w:tc>
        <w:tc>
          <w:tcPr>
            <w:tcW w:w="440" w:type="dxa"/>
            <w:vAlign w:val="bottom"/>
          </w:tcPr>
          <w:p>
            <w:pPr>
              <w:spacing w:after="0"/>
              <w:rPr>
                <w:sz w:val="17"/>
                <w:szCs w:val="17"/>
                <w:color w:val="auto"/>
              </w:rPr>
            </w:pP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189,441</w:t>
            </w:r>
          </w:p>
        </w:tc>
        <w:tc>
          <w:tcPr>
            <w:tcW w:w="0" w:type="dxa"/>
            <w:vAlign w:val="bottom"/>
          </w:tcPr>
          <w:p>
            <w:pPr>
              <w:spacing w:after="0"/>
              <w:rPr>
                <w:sz w:val="1"/>
                <w:szCs w:val="1"/>
                <w:color w:val="auto"/>
              </w:rPr>
            </w:pPr>
          </w:p>
        </w:tc>
      </w:tr>
      <w:tr>
        <w:trPr>
          <w:trHeight w:val="207"/>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56.5 %</w:t>
            </w:r>
          </w:p>
        </w:tc>
        <w:tc>
          <w:tcPr>
            <w:tcW w:w="2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86.0 %</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89.8 %</w:t>
            </w:r>
          </w:p>
        </w:tc>
        <w:tc>
          <w:tcPr>
            <w:tcW w:w="4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86.4 %</w:t>
            </w:r>
          </w:p>
        </w:tc>
        <w:tc>
          <w:tcPr>
            <w:tcW w:w="0" w:type="dxa"/>
            <w:vAlign w:val="bottom"/>
          </w:tcPr>
          <w:p>
            <w:pPr>
              <w:spacing w:after="0"/>
              <w:rPr>
                <w:sz w:val="1"/>
                <w:szCs w:val="1"/>
                <w:color w:val="auto"/>
              </w:rPr>
            </w:pPr>
          </w:p>
        </w:tc>
      </w:tr>
      <w:tr>
        <w:trPr>
          <w:trHeight w:val="205"/>
        </w:trPr>
        <w:tc>
          <w:tcPr>
            <w:tcW w:w="408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201</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184</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92</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bl>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6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3380" w:type="dxa"/>
            <w:vAlign w:val="bottom"/>
            <w:gridSpan w:val="3"/>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Nine Months Ended September 30, 2021</w:t>
            </w:r>
          </w:p>
        </w:tc>
        <w:tc>
          <w:tcPr>
            <w:tcW w:w="4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vMerge w:val="continue"/>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50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8"/>
                <w:szCs w:val="18"/>
                <w:color w:val="auto"/>
              </w:rPr>
            </w:pPr>
          </w:p>
        </w:tc>
        <w:tc>
          <w:tcPr>
            <w:tcW w:w="156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NA Storage</w:t>
            </w:r>
          </w:p>
        </w:tc>
        <w:tc>
          <w:tcPr>
            <w:tcW w:w="320" w:type="dxa"/>
            <w:vAlign w:val="bottom"/>
            <w:shd w:val="clear" w:color="auto" w:fill="1D2758"/>
          </w:tcPr>
          <w:p>
            <w:pPr>
              <w:spacing w:after="0"/>
              <w:rPr>
                <w:sz w:val="18"/>
                <w:szCs w:val="18"/>
                <w:color w:val="auto"/>
              </w:rPr>
            </w:pPr>
          </w:p>
        </w:tc>
        <w:tc>
          <w:tcPr>
            <w:tcW w:w="150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UK Storage</w:t>
            </w:r>
          </w:p>
        </w:tc>
        <w:tc>
          <w:tcPr>
            <w:tcW w:w="440" w:type="dxa"/>
            <w:vAlign w:val="bottom"/>
            <w:shd w:val="clear" w:color="auto" w:fill="1D2758"/>
          </w:tcPr>
          <w:p>
            <w:pPr>
              <w:spacing w:after="0"/>
              <w:rPr>
                <w:sz w:val="18"/>
                <w:szCs w:val="18"/>
                <w:color w:val="auto"/>
              </w:rPr>
            </w:pPr>
          </w:p>
        </w:tc>
        <w:tc>
          <w:tcPr>
            <w:tcW w:w="1320" w:type="dxa"/>
            <w:vAlign w:val="bottom"/>
            <w:vMerge w:val="restart"/>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4100" w:type="dxa"/>
            <w:vAlign w:val="bottom"/>
            <w:shd w:val="clear" w:color="auto" w:fill="1D2758"/>
          </w:tcPr>
          <w:p>
            <w:pPr>
              <w:spacing w:after="0"/>
              <w:rPr>
                <w:sz w:val="7"/>
                <w:szCs w:val="7"/>
                <w:color w:val="auto"/>
              </w:rPr>
            </w:pPr>
          </w:p>
        </w:tc>
        <w:tc>
          <w:tcPr>
            <w:tcW w:w="260" w:type="dxa"/>
            <w:vAlign w:val="bottom"/>
            <w:shd w:val="clear" w:color="auto" w:fill="1D2758"/>
          </w:tcPr>
          <w:p>
            <w:pPr>
              <w:spacing w:after="0"/>
              <w:rPr>
                <w:sz w:val="7"/>
                <w:szCs w:val="7"/>
                <w:color w:val="auto"/>
              </w:rPr>
            </w:pPr>
          </w:p>
        </w:tc>
        <w:tc>
          <w:tcPr>
            <w:tcW w:w="150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560" w:type="dxa"/>
            <w:vAlign w:val="bottom"/>
            <w:vMerge w:val="continue"/>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500" w:type="dxa"/>
            <w:vAlign w:val="bottom"/>
            <w:vMerge w:val="continue"/>
            <w:shd w:val="clear" w:color="auto" w:fill="1D2758"/>
          </w:tcPr>
          <w:p>
            <w:pPr>
              <w:spacing w:after="0"/>
              <w:rPr>
                <w:sz w:val="7"/>
                <w:szCs w:val="7"/>
                <w:color w:val="auto"/>
              </w:rPr>
            </w:pPr>
          </w:p>
        </w:tc>
        <w:tc>
          <w:tcPr>
            <w:tcW w:w="44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854,657</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357,439</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83,538</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1,295,634</w:t>
            </w:r>
          </w:p>
        </w:tc>
        <w:tc>
          <w:tcPr>
            <w:tcW w:w="0" w:type="dxa"/>
            <w:vAlign w:val="bottom"/>
          </w:tcPr>
          <w:p>
            <w:pPr>
              <w:spacing w:after="0"/>
              <w:rPr>
                <w:sz w:val="1"/>
                <w:szCs w:val="1"/>
                <w:color w:val="auto"/>
              </w:rPr>
            </w:pP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356,992</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240,836</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53,306</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651,134</w:t>
            </w:r>
          </w:p>
        </w:tc>
        <w:tc>
          <w:tcPr>
            <w:tcW w:w="0" w:type="dxa"/>
            <w:vAlign w:val="bottom"/>
          </w:tcPr>
          <w:p>
            <w:pPr>
              <w:spacing w:after="0"/>
              <w:rPr>
                <w:sz w:val="1"/>
                <w:szCs w:val="1"/>
                <w:color w:val="auto"/>
              </w:rPr>
            </w:pPr>
          </w:p>
        </w:tc>
      </w:tr>
      <w:tr>
        <w:trPr>
          <w:trHeight w:val="207"/>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307,741</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154,971</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36,647</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499,359</w:t>
            </w:r>
          </w:p>
        </w:tc>
        <w:tc>
          <w:tcPr>
            <w:tcW w:w="0" w:type="dxa"/>
            <w:vAlign w:val="bottom"/>
          </w:tcPr>
          <w:p>
            <w:pPr>
              <w:spacing w:after="0"/>
              <w:rPr>
                <w:sz w:val="1"/>
                <w:szCs w:val="1"/>
                <w:color w:val="auto"/>
              </w:rPr>
            </w:pP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120,288</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24,165</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22,645</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167,098</w:t>
            </w:r>
          </w:p>
        </w:tc>
        <w:tc>
          <w:tcPr>
            <w:tcW w:w="0" w:type="dxa"/>
            <w:vAlign w:val="bottom"/>
          </w:tcPr>
          <w:p>
            <w:pPr>
              <w:spacing w:after="0"/>
              <w:rPr>
                <w:sz w:val="1"/>
                <w:szCs w:val="1"/>
                <w:color w:val="auto"/>
              </w:rPr>
            </w:pPr>
          </w:p>
        </w:tc>
      </w:tr>
      <w:tr>
        <w:trPr>
          <w:trHeight w:val="207"/>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6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84,589</w:t>
            </w:r>
          </w:p>
        </w:tc>
        <w:tc>
          <w:tcPr>
            <w:tcW w:w="240" w:type="dxa"/>
            <w:vAlign w:val="bottom"/>
            <w:shd w:val="clear" w:color="auto" w:fill="DBDBDB"/>
          </w:tcPr>
          <w:p>
            <w:pPr>
              <w:spacing w:after="0"/>
              <w:rPr>
                <w:sz w:val="18"/>
                <w:szCs w:val="18"/>
                <w:color w:val="auto"/>
              </w:rPr>
            </w:pP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16,371</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9,256</w:t>
            </w:r>
          </w:p>
        </w:tc>
        <w:tc>
          <w:tcPr>
            <w:tcW w:w="44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110,216</w:t>
            </w:r>
          </w:p>
        </w:tc>
        <w:tc>
          <w:tcPr>
            <w:tcW w:w="0" w:type="dxa"/>
            <w:vAlign w:val="bottom"/>
          </w:tcPr>
          <w:p>
            <w:pPr>
              <w:spacing w:after="0"/>
              <w:rPr>
                <w:sz w:val="1"/>
                <w:szCs w:val="1"/>
                <w:color w:val="auto"/>
              </w:rPr>
            </w:pP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67.6 %</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78.5 %</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83.8 %</w:t>
            </w:r>
          </w:p>
        </w:tc>
        <w:tc>
          <w:tcPr>
            <w:tcW w:w="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70.2 %</w:t>
            </w:r>
          </w:p>
        </w:tc>
        <w:tc>
          <w:tcPr>
            <w:tcW w:w="0" w:type="dxa"/>
            <w:vAlign w:val="bottom"/>
          </w:tcPr>
          <w:p>
            <w:pPr>
              <w:spacing w:after="0"/>
              <w:rPr>
                <w:sz w:val="1"/>
                <w:szCs w:val="1"/>
                <w:color w:val="auto"/>
              </w:rPr>
            </w:pPr>
          </w:p>
        </w:tc>
      </w:tr>
      <w:tr>
        <w:trPr>
          <w:trHeight w:val="207"/>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790</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570</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428</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60" w:type="dxa"/>
            <w:vAlign w:val="bottom"/>
          </w:tcPr>
          <w:p>
            <w:pPr>
              <w:spacing w:after="0"/>
              <w:rPr>
                <w:sz w:val="17"/>
                <w:szCs w:val="17"/>
                <w:color w:val="auto"/>
              </w:rPr>
            </w:pP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9,566</w:t>
            </w:r>
          </w:p>
        </w:tc>
        <w:tc>
          <w:tcPr>
            <w:tcW w:w="240" w:type="dxa"/>
            <w:vAlign w:val="bottom"/>
          </w:tcPr>
          <w:p>
            <w:pPr>
              <w:spacing w:after="0"/>
              <w:rPr>
                <w:sz w:val="17"/>
                <w:szCs w:val="17"/>
                <w:color w:val="auto"/>
              </w:rPr>
            </w:pP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118,598</w:t>
            </w:r>
          </w:p>
        </w:tc>
        <w:tc>
          <w:tcPr>
            <w:tcW w:w="320" w:type="dxa"/>
            <w:vAlign w:val="bottom"/>
          </w:tcPr>
          <w:p>
            <w:pPr>
              <w:spacing w:after="0"/>
              <w:rPr>
                <w:sz w:val="17"/>
                <w:szCs w:val="17"/>
                <w:color w:val="auto"/>
              </w:rPr>
            </w:pP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25,284</w:t>
            </w:r>
          </w:p>
        </w:tc>
        <w:tc>
          <w:tcPr>
            <w:tcW w:w="440" w:type="dxa"/>
            <w:vAlign w:val="bottom"/>
          </w:tcPr>
          <w:p>
            <w:pPr>
              <w:spacing w:after="0"/>
              <w:rPr>
                <w:sz w:val="17"/>
                <w:szCs w:val="17"/>
                <w:color w:val="auto"/>
              </w:rPr>
            </w:pP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153,448</w:t>
            </w:r>
          </w:p>
        </w:tc>
        <w:tc>
          <w:tcPr>
            <w:tcW w:w="0" w:type="dxa"/>
            <w:vAlign w:val="bottom"/>
          </w:tcPr>
          <w:p>
            <w:pPr>
              <w:spacing w:after="0"/>
              <w:rPr>
                <w:sz w:val="1"/>
                <w:szCs w:val="1"/>
                <w:color w:val="auto"/>
              </w:rPr>
            </w:pPr>
          </w:p>
        </w:tc>
      </w:tr>
      <w:tr>
        <w:trPr>
          <w:trHeight w:val="207"/>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64.1 %</w:t>
            </w:r>
          </w:p>
        </w:tc>
        <w:tc>
          <w:tcPr>
            <w:tcW w:w="24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78.0 %</w:t>
            </w:r>
          </w:p>
        </w:tc>
        <w:tc>
          <w:tcPr>
            <w:tcW w:w="32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90.0 %</w:t>
            </w:r>
          </w:p>
        </w:tc>
        <w:tc>
          <w:tcPr>
            <w:tcW w:w="44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78.7 %</w:t>
            </w:r>
          </w:p>
        </w:tc>
        <w:tc>
          <w:tcPr>
            <w:tcW w:w="0" w:type="dxa"/>
            <w:vAlign w:val="bottom"/>
          </w:tcPr>
          <w:p>
            <w:pPr>
              <w:spacing w:after="0"/>
              <w:rPr>
                <w:sz w:val="1"/>
                <w:szCs w:val="1"/>
                <w:color w:val="auto"/>
              </w:rPr>
            </w:pPr>
          </w:p>
        </w:tc>
      </w:tr>
      <w:tr>
        <w:trPr>
          <w:trHeight w:val="205"/>
        </w:trPr>
        <w:tc>
          <w:tcPr>
            <w:tcW w:w="41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63"/>
              <w:spacing w:after="0"/>
              <w:rPr>
                <w:sz w:val="20"/>
                <w:szCs w:val="20"/>
                <w:color w:val="auto"/>
              </w:rPr>
            </w:pPr>
            <w:r>
              <w:rPr>
                <w:rFonts w:ascii="Arial" w:cs="Arial" w:eastAsia="Arial" w:hAnsi="Arial"/>
                <w:sz w:val="15"/>
                <w:szCs w:val="15"/>
                <w:color w:val="auto"/>
              </w:rPr>
              <w:t>129</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163"/>
              <w:spacing w:after="0"/>
              <w:rPr>
                <w:sz w:val="20"/>
                <w:szCs w:val="20"/>
                <w:color w:val="auto"/>
              </w:rPr>
            </w:pPr>
            <w:r>
              <w:rPr>
                <w:rFonts w:ascii="Arial" w:cs="Arial" w:eastAsia="Arial" w:hAnsi="Arial"/>
                <w:sz w:val="15"/>
                <w:szCs w:val="15"/>
                <w:color w:val="auto"/>
              </w:rPr>
              <w:t>152</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183"/>
              <w:spacing w:after="0"/>
              <w:rPr>
                <w:sz w:val="20"/>
                <w:szCs w:val="20"/>
                <w:color w:val="auto"/>
              </w:rPr>
            </w:pPr>
            <w:r>
              <w:rPr>
                <w:rFonts w:ascii="Arial" w:cs="Arial" w:eastAsia="Arial" w:hAnsi="Arial"/>
                <w:sz w:val="15"/>
                <w:szCs w:val="15"/>
                <w:color w:val="auto"/>
              </w:rPr>
              <w:t>86</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23"/>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1D2758"/>
        </w:rPr>
        <w:t>NA Modular</w:t>
      </w:r>
    </w:p>
    <w:p>
      <w:pPr>
        <w:spacing w:after="0" w:line="11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$168.1 million, or 19.7%, to $1,022.8 million for the nine months ended September 30, 2022 from $854.7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2021. The increase was primarily the result of a $119.3 million, or 18.7%, increase in leasing revenue, a $52.2 million, or 32.3%, increase in delivery and installation revenues and a $3.2 million, or 11.3%, increase in rental unit sales revenue. The increases to leasing revenue and delivery and installation revenues were partially offset by declines in revenues for portable storage units in the first and second quarters of 2022 as a result of transitioning the majority of the portable storage product business within the NA Modular segment to the NA Storage segment during the third quarter of 2021. Approximately 12,000 units were transferred during the third quarter of 2021 to the NA Storage segment, reallocating approximately $10.0 million of revenue from NA Modular segment to the NA Storage segment in the first six months of 2022 relative to the first six months of 2021. Average modular space monthly rental rates increased 18.5% for the nine months ended September 30, 2022 to $936 driven by the continuation of our long-term price optimization initiative and VAPS penetration opportunities across our portfolio. In addition to improved pricing, average modular space units on rent increased by 1,721 units, or 2.0%, year over year driven primarily by acquisitions.</w:t>
      </w:r>
    </w:p>
    <w:p>
      <w:pPr>
        <w:spacing w:after="0" w:line="6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$82.6 million, or 23.1%, to $439.6 million for the nine months ended September 30, 2022 from $357.0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2021. The increase in gross profit was driven by higher leasing gross profit, which increased $77.7 million, or 16.7%, driven by improved pricing including VAPS and increased modular unit on rent volumes, partially offset by the transfer of portable storage units to the NA Storage segment discussed above, and a $25.2 million increase in delivery and installation gross profit driven by volumes and improved pricing. These increases were further complemented by a $0.5 million increase in new sales gross profit and $1.7 million increase in rental unit sales gross profit. These increases were partially offset by a $22.5 million increase in depreciation of rental equipment related to capital investments made in our rental equipment and due to fleet acquired as part of acquisitions.</w:t>
      </w:r>
    </w:p>
    <w:p>
      <w:pPr>
        <w:spacing w:after="0" w:line="26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$64.8 million, or 21.0%, to $372.5 million for the nine months ended September 30, 2022 from $307.7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2021. The increase was driven by higher leasing gross profit discussed above. SG&amp;A, excluding discrete items, increased $50.0 million, or 26.0%, for the nine months ended September 30, 2022, as compared to the nine months ended September 30, 2021 to support higher staffing levels for both organic and inorganic growth, wage increases, and increased variable compensation as a result of the growth achieved, increased office and occupancy costs, increased travel expenses, and increased subscription, legal and professional fees.</w:t>
      </w:r>
    </w:p>
    <w:p>
      <w:pPr>
        <w:spacing w:after="0" w:line="7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$100.8 million, or 83.8%, to $221.1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nine months ended September 30, 2022 from $120.3 million for the nine months ended September 30, 2021. These increases were driven by increased refurbishments, and increased new fleet and VAPS purchase volumes, further increased by inflationary pressures.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Storage</w:t>
      </w:r>
    </w:p>
    <w:p>
      <w:pPr>
        <w:spacing w:after="0" w:line="11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$171.9 million, or 48.1%, to $529.4 million for the nine months ended September 30, 2022 from $357.5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2021. The increase was primarily the result of a $142.0 million, or 53.1%, increase in leasing revenue, and a $36.5 million, or 49.9%, increase in delivery and installation revenues. These increases were partially offset by a decrease in rental unit sales revenue of $5.3 million, or 46.5%. Average portable storage monthly rental rates increased 21.1% for the nine months ended September 30, 2022 to $184 as a result of our price management tools and processes, further supported by high utilization, and by an acceleration earlier into the third quarter of our seasonal retail business. Average portable storage units on rent increased by 42,733 units, or 36.0%, year over year, driven by increased organic economic activity of approximately 17,500 average units on rent, approximately 17,000 average units on rent acquired from acquisitions, and due to the transfer of approximately 12,000 portable storage units on rent from the NA Modular segment, which occurred in the third quarter of 2021 (8,000 average units on rent impact). Average modular space monthly rental rates increased 18.1% for the nine months ended September 30, 2022 to $673 driven by the continuation of our long-term price optimization initiative and VAPS penetration opportunities across our portfolio. Average modular space units on rent increased by 1,852 units, or 11.3%, year over year, of which approximately 30% was acquisition driven.</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$126.8 million, or 52.7%, to $367.6 million for the nine months ended September 30, 2022 from $240.8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2021. Gross profit on leasing activity increased by $116.8 million year-over-year driven by both increased volume and increased pricing as described above. For delivery and installation, gross profit increased $17.9 million. Sales gross profit decreased by $3.5 million to $3.5 million.</w:t>
      </w:r>
    </w:p>
    <w:p>
      <w:pPr>
        <w:spacing w:after="0" w:line="4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$88.3 million, or 57.0%, to $243.3 million for the nine months ended September 30, 2022 from $155.0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2021. The increase was driven by higher leasing gross profit discussed above. SG&amp;A, excluding discrete items, increased $40.6 million, or 38.4%, for the nine months ended September 30, 2022, as compared to the nine months ended September 30, 2021 to support higher staffing levels for both organic and inorganic growth, wage increases, and increased variable compensation as a result of the growth achieved, increased office and occupancy costs, increased travel expenses, and increased subscription, legal and professional fees.</w:t>
      </w:r>
    </w:p>
    <w:p>
      <w:pPr>
        <w:spacing w:after="0" w:line="5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$71.5 million, or 295.5%, to $95.7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nine months ended September 30, 2022 from $24.2 million for the nine months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3" w:name="page44"/>
    <w:bookmarkEnd w:id="43"/>
    <w:p>
      <w:pPr>
        <w:jc w:val="both"/>
        <w:spacing w:after="0" w:line="294" w:lineRule="auto"/>
        <w:rPr>
          <w:sz w:val="20"/>
          <w:szCs w:val="20"/>
          <w:color w:val="auto"/>
        </w:rPr>
      </w:pPr>
      <w:r>
        <w:rPr>
          <w:rFonts w:ascii="Arial" w:cs="Arial" w:eastAsia="Arial" w:hAnsi="Arial"/>
          <w:sz w:val="15"/>
          <w:szCs w:val="15"/>
          <w:color w:val="auto"/>
        </w:rPr>
        <w:t>ended September 30, 2021. The increase in purchases of rental equipment and refurbishments was driven primarily by increased purchases of portable storage containers during the period to support organic growth.</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UK Storage</w:t>
      </w:r>
    </w:p>
    <w:p>
      <w:pPr>
        <w:spacing w:after="0" w:line="11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$3.2 million, or 3.9%, to $80.3 million for the nine months ended September 30, 2022 from $83.5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2021 due to the strengthening of the U.S. Dollar. The decrease was primarily the result of a $1.8 million, or 66.7%, decrease in new unit sales revenue and a $0.6 million, or 3.3%, decrease in delivery and installation revenues. In local currency, total revenue increased £3.6 million, driven by a £3.8 million increase in leasing revenue, and a £0.9 million increase in delivery and installation revenue, partially offset by a £1.1 million decrease in sales revenue. Average portable storage monthly rental rates increased 7.0% for the nine months ended September 30, 2022 to $92. Average portable storage units on rent increased by 2,328 units, or 9.2%, year over year. Average modular space monthly rental rates decreased 4.4% for the nine months ended September 30, 2022 to $409. Average modular space units on rent decreased by 786 units, or 8.5%, year over year. In local currency, average portable storage monthly rental rates decreased 5.2% for the nine months ended September 30, 2022 to £73, and average modular space monthly rental rates decreased 13.3% for the nine months ended September 30, 2022 to £325.</w:t>
      </w:r>
    </w:p>
    <w:p>
      <w:pPr>
        <w:spacing w:after="0" w:line="26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$1.8 million, or 3.4%, to $51.5 million for the nine months ended September 30, 2022 from $53.3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2021 due to the strengthening of the U.S. Dollar. Gross profit on leasing activity decreased by $0.3 million year-over-year. For delivery and installation, gross profit decreased $1.2 million. Sales gross profit decreased by $0.2 million to $0.7 million. In local currency, gross profit increased £2.4 million, or 6.4% for the nine months ended September 30, 2022 from £38.5 million. Gross profit on leasing activity increased by £3.3 million. For delivery and installation, gross profit decreased £0.4 million. Sales gross profit decreased by £0.1 million to £0.6 million.</w:t>
      </w:r>
    </w:p>
    <w:p>
      <w:pPr>
        <w:spacing w:after="0" w:line="7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$0.1 million, or 0.3%, to $36.7 million for the nine months ended September 30, 2022 from $36.6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2021. The increase was driven by higher leasing gross profit discussed above. SG&amp;A, excluding discrete items, decreased $1.8 million, or 9.0%, for the nine months ended September 30, 2022, as compared to the nine months ended September 30, 2021. In local currency, Adjusted EBITDA increased £2.8 million, or 10.6%.</w:t>
      </w:r>
    </w:p>
    <w:p>
      <w:pPr>
        <w:spacing w:after="0" w:line="5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decreased $0.8 million, or 3.5%, to $21.8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nine months ended September 30, 2022 from $22.6 million for the nine months ended September 30, 2021.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1D2758"/>
        </w:rPr>
        <w:t>Reconciliation of Non-GAAP Financial Measures</w:t>
      </w:r>
    </w:p>
    <w:p>
      <w:pPr>
        <w:spacing w:after="0" w:line="12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define EBITDA as net income (loss) plus net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49" w:lineRule="exact"/>
        <w:rPr>
          <w:sz w:val="20"/>
          <w:szCs w:val="20"/>
          <w:color w:val="auto"/>
        </w:rPr>
      </w:pPr>
    </w:p>
    <w:p>
      <w:pPr>
        <w:ind w:left="940" w:hanging="318"/>
        <w:spacing w:after="0" w:line="312" w:lineRule="auto"/>
        <w:tabs>
          <w:tab w:leader="none" w:pos="929" w:val="left"/>
        </w:tabs>
        <w:numPr>
          <w:ilvl w:val="0"/>
          <w:numId w:val="13"/>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28"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3"/>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54"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54" w:lineRule="exact"/>
        <w:rPr>
          <w:rFonts w:ascii="Arial" w:cs="Arial" w:eastAsia="Arial" w:hAnsi="Arial"/>
          <w:sz w:val="15"/>
          <w:szCs w:val="15"/>
          <w:color w:val="auto"/>
        </w:rPr>
      </w:pPr>
    </w:p>
    <w:p>
      <w:pPr>
        <w:ind w:left="920" w:hanging="298"/>
        <w:spacing w:after="0"/>
        <w:tabs>
          <w:tab w:leader="none" w:pos="9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111"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4" w:name="page45"/>
    <w:bookmarkEnd w:id="44"/>
    <w:p>
      <w:pPr>
        <w:ind w:left="920" w:hanging="298"/>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111" w:lineRule="exact"/>
        <w:rPr>
          <w:rFonts w:ascii="Arial" w:cs="Arial" w:eastAsia="Arial" w:hAnsi="Arial"/>
          <w:sz w:val="15"/>
          <w:szCs w:val="15"/>
          <w:color w:val="auto"/>
        </w:rPr>
      </w:pPr>
    </w:p>
    <w:p>
      <w:pPr>
        <w:ind w:left="920" w:hanging="298"/>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Gains and losses resulting from changes in fair value and extinguishment of common stock warrant liabilities.</w:t>
      </w:r>
    </w:p>
    <w:p>
      <w:pPr>
        <w:spacing w:after="0" w:line="124"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4"/>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and gains and losses on disposals of property, plant and equipment.</w:t>
      </w:r>
    </w:p>
    <w:p>
      <w:pPr>
        <w:spacing w:after="0" w:line="5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spacing w:after="0" w:line="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29" w:lineRule="exact"/>
        <w:rPr>
          <w:sz w:val="20"/>
          <w:szCs w:val="20"/>
          <w:color w:val="auto"/>
        </w:rPr>
      </w:pPr>
    </w:p>
    <w:p>
      <w:pPr>
        <w:ind w:left="920" w:hanging="29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111" w:lineRule="exact"/>
        <w:rPr>
          <w:rFonts w:ascii="Arial" w:cs="Arial" w:eastAsia="Arial" w:hAnsi="Arial"/>
          <w:sz w:val="15"/>
          <w:szCs w:val="15"/>
          <w:color w:val="auto"/>
        </w:rPr>
      </w:pPr>
    </w:p>
    <w:p>
      <w:pPr>
        <w:ind w:left="940" w:hanging="318"/>
        <w:spacing w:after="0" w:line="276" w:lineRule="auto"/>
        <w:tabs>
          <w:tab w:leader="none" w:pos="929"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278" w:lineRule="exact"/>
        <w:rPr>
          <w:rFonts w:ascii="Arial" w:cs="Arial" w:eastAsia="Arial" w:hAnsi="Arial"/>
          <w:sz w:val="15"/>
          <w:szCs w:val="15"/>
          <w:color w:val="auto"/>
        </w:rPr>
      </w:pPr>
    </w:p>
    <w:p>
      <w:pPr>
        <w:ind w:left="920" w:hanging="29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111" w:lineRule="exact"/>
        <w:rPr>
          <w:rFonts w:ascii="Arial" w:cs="Arial" w:eastAsia="Arial" w:hAnsi="Arial"/>
          <w:sz w:val="15"/>
          <w:szCs w:val="15"/>
          <w:color w:val="auto"/>
        </w:rPr>
      </w:pPr>
    </w:p>
    <w:p>
      <w:pPr>
        <w:ind w:left="920" w:hanging="29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124" w:lineRule="exact"/>
        <w:rPr>
          <w:rFonts w:ascii="Arial" w:cs="Arial" w:eastAsia="Arial" w:hAnsi="Arial"/>
          <w:sz w:val="15"/>
          <w:szCs w:val="15"/>
          <w:color w:val="auto"/>
        </w:rPr>
      </w:pPr>
    </w:p>
    <w:p>
      <w:pPr>
        <w:ind w:left="940" w:hanging="318"/>
        <w:spacing w:after="0" w:line="267" w:lineRule="auto"/>
        <w:tabs>
          <w:tab w:leader="none" w:pos="929"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285"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5"/>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41" w:lineRule="exact"/>
        <w:rPr>
          <w:rFonts w:ascii="Arial" w:cs="Arial" w:eastAsia="Arial" w:hAnsi="Arial"/>
          <w:sz w:val="15"/>
          <w:szCs w:val="15"/>
          <w:color w:val="auto"/>
        </w:rPr>
      </w:pPr>
    </w:p>
    <w:p>
      <w:pPr>
        <w:ind w:left="920" w:hanging="298"/>
        <w:spacing w:after="0"/>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124"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measures of cash that will be available to meet our obligations.</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unaudited reconciliations of Income from continuing operations to Adjusted EBITDA: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100" w:type="dxa"/>
            <w:vAlign w:val="bottom"/>
            <w:gridSpan w:val="5"/>
            <w:shd w:val="clear" w:color="auto" w:fill="1D2758"/>
          </w:tcPr>
          <w:p>
            <w:pPr>
              <w:ind w:left="560"/>
              <w:spacing w:after="0"/>
              <w:rPr>
                <w:sz w:val="20"/>
                <w:szCs w:val="20"/>
                <w:color w:val="auto"/>
              </w:rPr>
            </w:pPr>
            <w:r>
              <w:rPr>
                <w:rFonts w:ascii="Arial" w:cs="Arial" w:eastAsia="Arial" w:hAnsi="Arial"/>
                <w:sz w:val="15"/>
                <w:szCs w:val="15"/>
                <w:b w:val="1"/>
                <w:bCs w:val="1"/>
                <w:color w:val="FFFFFF"/>
              </w:rPr>
              <w:t>Three Months Ended</w:t>
            </w:r>
          </w:p>
        </w:tc>
        <w:tc>
          <w:tcPr>
            <w:tcW w:w="380" w:type="dxa"/>
            <w:vAlign w:val="bottom"/>
            <w:shd w:val="clear" w:color="auto" w:fill="1D2758"/>
          </w:tcPr>
          <w:p>
            <w:pPr>
              <w:spacing w:after="0"/>
              <w:rPr>
                <w:sz w:val="17"/>
                <w:szCs w:val="17"/>
                <w:color w:val="auto"/>
              </w:rPr>
            </w:pPr>
          </w:p>
        </w:tc>
        <w:tc>
          <w:tcPr>
            <w:tcW w:w="3020" w:type="dxa"/>
            <w:vAlign w:val="bottom"/>
            <w:gridSpan w:val="4"/>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Nine Months Ended</w:t>
            </w:r>
          </w:p>
        </w:tc>
        <w:tc>
          <w:tcPr>
            <w:tcW w:w="0" w:type="dxa"/>
            <w:vAlign w:val="bottom"/>
          </w:tcPr>
          <w:p>
            <w:pPr>
              <w:spacing w:after="0"/>
              <w:rPr>
                <w:sz w:val="1"/>
                <w:szCs w:val="1"/>
                <w:color w:val="auto"/>
              </w:rPr>
            </w:pPr>
          </w:p>
        </w:tc>
      </w:tr>
      <w:tr>
        <w:trPr>
          <w:trHeight w:val="205"/>
        </w:trPr>
        <w:tc>
          <w:tcPr>
            <w:tcW w:w="436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1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4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56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206"/>
        </w:trPr>
        <w:tc>
          <w:tcPr>
            <w:tcW w:w="4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85,728</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57,113</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200,099</w:t>
            </w: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75,278</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30,219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5,243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67,167</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32,341</w:t>
            </w: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3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18"/>
                <w:szCs w:val="18"/>
                <w:color w:val="auto"/>
              </w:rPr>
            </w:pPr>
          </w:p>
        </w:tc>
        <w:tc>
          <w:tcPr>
            <w:tcW w:w="11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38,165</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29,006</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102,362</w:t>
            </w:r>
          </w:p>
        </w:tc>
        <w:tc>
          <w:tcPr>
            <w:tcW w:w="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87,793</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86,225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69,449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243,123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216,820</w:t>
            </w: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236</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127</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247</w:t>
            </w:r>
          </w:p>
        </w:tc>
        <w:tc>
          <w:tcPr>
            <w:tcW w:w="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55"/>
        </w:trPr>
        <w:tc>
          <w:tcPr>
            <w:tcW w:w="4360" w:type="dxa"/>
            <w:vAlign w:val="bottom"/>
          </w:tcPr>
          <w:p>
            <w:pPr>
              <w:ind w:left="220"/>
              <w:spacing w:after="0" w:line="156" w:lineRule="exact"/>
              <w:rPr>
                <w:sz w:val="20"/>
                <w:szCs w:val="20"/>
                <w:color w:val="auto"/>
              </w:rPr>
            </w:pPr>
            <w:r>
              <w:rPr>
                <w:rFonts w:ascii="Arial" w:cs="Arial" w:eastAsia="Arial" w:hAnsi="Arial"/>
                <w:sz w:val="15"/>
                <w:szCs w:val="15"/>
                <w:color w:val="auto"/>
              </w:rPr>
              <w:t>Restructuring costs, lease impairment expense and other</w:t>
            </w:r>
          </w:p>
        </w:tc>
        <w:tc>
          <w:tcPr>
            <w:tcW w:w="38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3"/>
                <w:szCs w:val="13"/>
                <w:color w:val="auto"/>
              </w:rPr>
            </w:pPr>
          </w:p>
        </w:tc>
        <w:tc>
          <w:tcPr>
            <w:tcW w:w="1100" w:type="dxa"/>
            <w:vAlign w:val="bottom"/>
            <w:vMerge w:val="restart"/>
          </w:tcPr>
          <w:p>
            <w:pPr>
              <w:jc w:val="right"/>
              <w:ind w:right="3"/>
              <w:spacing w:after="0"/>
              <w:rPr>
                <w:sz w:val="20"/>
                <w:szCs w:val="20"/>
                <w:color w:val="auto"/>
              </w:rPr>
            </w:pPr>
            <w:r>
              <w:rPr>
                <w:rFonts w:ascii="Arial" w:cs="Arial" w:eastAsia="Arial" w:hAnsi="Arial"/>
                <w:sz w:val="15"/>
                <w:szCs w:val="15"/>
                <w:color w:val="auto"/>
              </w:rPr>
              <w:t>2,457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3"/>
              <w:spacing w:after="0"/>
              <w:rPr>
                <w:sz w:val="20"/>
                <w:szCs w:val="20"/>
                <w:color w:val="auto"/>
              </w:rPr>
            </w:pPr>
            <w:r>
              <w:rPr>
                <w:rFonts w:ascii="Arial" w:cs="Arial" w:eastAsia="Arial" w:hAnsi="Arial"/>
                <w:sz w:val="15"/>
                <w:szCs w:val="15"/>
                <w:color w:val="auto"/>
              </w:rPr>
              <w:t>168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14,284</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related charges</w:t>
            </w:r>
          </w:p>
        </w:tc>
        <w:tc>
          <w:tcPr>
            <w:tcW w:w="3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303</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w:t>
            </w:r>
          </w:p>
        </w:tc>
        <w:tc>
          <w:tcPr>
            <w:tcW w:w="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3,902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8,242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13,182</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23,206</w:t>
            </w: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7,180</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6,157</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22,628</w:t>
            </w:r>
          </w:p>
        </w:tc>
        <w:tc>
          <w:tcPr>
            <w:tcW w:w="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14,305</w:t>
            </w:r>
          </w:p>
        </w:tc>
        <w:tc>
          <w:tcPr>
            <w:tcW w:w="0" w:type="dxa"/>
            <w:vAlign w:val="bottom"/>
          </w:tcPr>
          <w:p>
            <w:pPr>
              <w:spacing w:after="0"/>
              <w:rPr>
                <w:sz w:val="1"/>
                <w:szCs w:val="1"/>
                <w:color w:val="auto"/>
              </w:rPr>
            </w:pPr>
          </w:p>
        </w:tc>
      </w:tr>
      <w:tr>
        <w:trPr>
          <w:trHeight w:val="205"/>
        </w:trPr>
        <w:tc>
          <w:tcPr>
            <w:tcW w:w="43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80" w:type="dxa"/>
            <w:vAlign w:val="bottom"/>
            <w:tcBorders>
              <w:bottom w:val="single" w:sz="8" w:color="DBDBDB"/>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1,106</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3,518</w:t>
            </w: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1,393</w:t>
            </w:r>
          </w:p>
        </w:tc>
        <w:tc>
          <w:tcPr>
            <w:tcW w:w="0" w:type="dxa"/>
            <w:vAlign w:val="bottom"/>
          </w:tcPr>
          <w:p>
            <w:pPr>
              <w:spacing w:after="0"/>
              <w:rPr>
                <w:sz w:val="1"/>
                <w:szCs w:val="1"/>
                <w:color w:val="auto"/>
              </w:rPr>
            </w:pPr>
          </w:p>
        </w:tc>
      </w:tr>
      <w:tr>
        <w:trPr>
          <w:trHeight w:val="245"/>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251,339</w:t>
            </w:r>
          </w:p>
        </w:tc>
        <w:tc>
          <w:tcPr>
            <w:tcW w:w="80" w:type="dxa"/>
            <w:vAlign w:val="bottom"/>
            <w:tcBorders>
              <w:bottom w:val="single" w:sz="8" w:color="DBDBDB"/>
            </w:tcBorders>
            <w:shd w:val="clear" w:color="auto" w:fill="DBDBDB"/>
          </w:tcPr>
          <w:p>
            <w:pPr>
              <w:spacing w:after="0"/>
              <w:rPr>
                <w:sz w:val="20"/>
                <w:szCs w:val="20"/>
                <w:color w:val="auto"/>
              </w:rPr>
            </w:pPr>
          </w:p>
        </w:tc>
        <w:tc>
          <w:tcPr>
            <w:tcW w:w="5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179,203</w:t>
            </w: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652,529</w:t>
            </w:r>
          </w:p>
        </w:tc>
        <w:tc>
          <w:tcPr>
            <w:tcW w:w="80" w:type="dxa"/>
            <w:vAlign w:val="bottom"/>
            <w:tcBorders>
              <w:bottom w:val="single" w:sz="8" w:color="DBDBDB"/>
            </w:tcBorders>
            <w:shd w:val="clear" w:color="auto" w:fill="DBDBDB"/>
          </w:tcPr>
          <w:p>
            <w:pPr>
              <w:spacing w:after="0"/>
              <w:rPr>
                <w:sz w:val="20"/>
                <w:szCs w:val="20"/>
                <w:color w:val="auto"/>
              </w:rPr>
            </w:pPr>
          </w:p>
        </w:tc>
        <w:tc>
          <w:tcPr>
            <w:tcW w:w="580" w:type="dxa"/>
            <w:vAlign w:val="bottom"/>
            <w:tcBorders>
              <w:bottom w:val="single" w:sz="8" w:color="auto"/>
            </w:tcBorders>
            <w:shd w:val="clear" w:color="auto" w:fill="DBDBDB"/>
          </w:tcPr>
          <w:p>
            <w:pPr>
              <w:jc w:val="right"/>
              <w:ind w:right="40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499,359</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shd w:val="clear" w:color="auto" w:fill="000000"/>
          </w:tcPr>
          <w:p>
            <w:pPr>
              <w:spacing w:after="0" w:line="20" w:lineRule="exact"/>
              <w:rPr>
                <w:sz w:val="1"/>
                <w:szCs w:val="1"/>
                <w:color w:val="auto"/>
              </w:rPr>
            </w:pPr>
          </w:p>
        </w:tc>
        <w:tc>
          <w:tcPr>
            <w:tcW w:w="128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shd w:val="clear" w:color="auto" w:fill="000000"/>
          </w:tcPr>
          <w:p>
            <w:pPr>
              <w:spacing w:after="0" w:line="20" w:lineRule="exact"/>
              <w:rPr>
                <w:sz w:val="1"/>
                <w:szCs w:val="1"/>
                <w:color w:val="auto"/>
              </w:rPr>
            </w:pPr>
          </w:p>
        </w:tc>
        <w:tc>
          <w:tcPr>
            <w:tcW w:w="110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shd w:val="clear" w:color="auto" w:fill="000000"/>
          </w:tcPr>
          <w:p>
            <w:pPr>
              <w:spacing w:after="0" w:line="20" w:lineRule="exact"/>
              <w:rPr>
                <w:sz w:val="1"/>
                <w:szCs w:val="1"/>
                <w:color w:val="auto"/>
              </w:rPr>
            </w:pPr>
          </w:p>
        </w:tc>
        <w:tc>
          <w:tcPr>
            <w:tcW w:w="128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DBDBDB"/>
            </w:tcBorders>
            <w:shd w:val="clear" w:color="auto" w:fill="000000"/>
          </w:tcPr>
          <w:p>
            <w:pPr>
              <w:spacing w:after="0" w:line="20" w:lineRule="exact"/>
              <w:rPr>
                <w:sz w:val="1"/>
                <w:szCs w:val="1"/>
                <w:color w:val="auto"/>
              </w:rPr>
            </w:pPr>
          </w:p>
        </w:tc>
        <w:tc>
          <w:tcPr>
            <w:tcW w:w="1080" w:type="dxa"/>
            <w:vAlign w:val="bottom"/>
            <w:tcBorders>
              <w:top w:val="single" w:sz="8" w:color="DBDBDB"/>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Income From Continuing Operations Excluding Gain/Loss from Warrants</w:t>
      </w:r>
    </w:p>
    <w:p>
      <w:pPr>
        <w:spacing w:after="0" w:line="10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define Income from Continuing Operations Excluding Gain/Loss from Warrants as income from continuing operations plus or minus the impact of the change in the fair value of the common stock warrant liability. Management believes that the presentation of our financial statements excluding the impact of the mark-to-market adjustment provides useful information regarding our results of operations and assists in the review of our actual operating performance. The following table provides unaudited reconciliations of Income from Continuing Operations to Income from Continuing Operations Excluding Gain/Loss from Warrants: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4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3240" w:type="dxa"/>
            <w:vAlign w:val="bottom"/>
            <w:gridSpan w:val="4"/>
            <w:shd w:val="clear" w:color="auto" w:fill="1D2758"/>
          </w:tcPr>
          <w:p>
            <w:pPr>
              <w:ind w:left="140"/>
              <w:spacing w:after="0"/>
              <w:rPr>
                <w:sz w:val="20"/>
                <w:szCs w:val="20"/>
                <w:color w:val="auto"/>
              </w:rPr>
            </w:pPr>
            <w:r>
              <w:rPr>
                <w:rFonts w:ascii="Arial" w:cs="Arial" w:eastAsia="Arial" w:hAnsi="Arial"/>
                <w:sz w:val="15"/>
                <w:szCs w:val="15"/>
                <w:b w:val="1"/>
                <w:bCs w:val="1"/>
                <w:color w:val="FFFFFF"/>
              </w:rPr>
              <w:t>Three Months Ended September 30,</w:t>
            </w:r>
          </w:p>
        </w:tc>
        <w:tc>
          <w:tcPr>
            <w:tcW w:w="280" w:type="dxa"/>
            <w:vAlign w:val="bottom"/>
            <w:shd w:val="clear" w:color="auto" w:fill="1D2758"/>
          </w:tcPr>
          <w:p>
            <w:pPr>
              <w:spacing w:after="0"/>
              <w:rPr>
                <w:sz w:val="17"/>
                <w:szCs w:val="17"/>
                <w:color w:val="auto"/>
              </w:rPr>
            </w:pPr>
          </w:p>
        </w:tc>
        <w:tc>
          <w:tcPr>
            <w:tcW w:w="3140" w:type="dxa"/>
            <w:vAlign w:val="bottom"/>
            <w:gridSpan w:val="4"/>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Nine Months Ended September 30,</w:t>
            </w:r>
          </w:p>
        </w:tc>
        <w:tc>
          <w:tcPr>
            <w:tcW w:w="0" w:type="dxa"/>
            <w:vAlign w:val="bottom"/>
          </w:tcPr>
          <w:p>
            <w:pPr>
              <w:spacing w:after="0"/>
              <w:rPr>
                <w:sz w:val="1"/>
                <w:szCs w:val="1"/>
                <w:color w:val="auto"/>
              </w:rPr>
            </w:pPr>
          </w:p>
        </w:tc>
      </w:tr>
      <w:tr>
        <w:trPr>
          <w:trHeight w:val="206"/>
        </w:trPr>
        <w:tc>
          <w:tcPr>
            <w:tcW w:w="4340" w:type="dxa"/>
            <w:vAlign w:val="bottom"/>
            <w:tcBorders>
              <w:bottom w:val="single" w:sz="8" w:color="DBDBDB"/>
            </w:tcBorders>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tcBorders>
              <w:bottom w:val="single" w:sz="8" w:color="DBDBDB"/>
            </w:tcBorders>
            <w:shd w:val="clear" w:color="auto" w:fill="1D2758"/>
          </w:tcPr>
          <w:p>
            <w:pPr>
              <w:spacing w:after="0"/>
              <w:rPr>
                <w:sz w:val="17"/>
                <w:szCs w:val="17"/>
                <w:color w:val="auto"/>
              </w:rPr>
            </w:pPr>
          </w:p>
        </w:tc>
        <w:tc>
          <w:tcPr>
            <w:tcW w:w="1500" w:type="dxa"/>
            <w:vAlign w:val="bottom"/>
            <w:tcBorders>
              <w:bottom w:val="single" w:sz="8" w:color="DBDBDB"/>
            </w:tcBorders>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380" w:type="dxa"/>
            <w:vAlign w:val="bottom"/>
            <w:tcBorders>
              <w:bottom w:val="single" w:sz="8" w:color="auto"/>
            </w:tcBorders>
            <w:shd w:val="clear" w:color="auto" w:fill="1D2758"/>
          </w:tcPr>
          <w:p>
            <w:pPr>
              <w:spacing w:after="0"/>
              <w:rPr>
                <w:sz w:val="17"/>
                <w:szCs w:val="17"/>
                <w:color w:val="auto"/>
              </w:rPr>
            </w:pPr>
          </w:p>
        </w:tc>
        <w:tc>
          <w:tcPr>
            <w:tcW w:w="1280" w:type="dxa"/>
            <w:vAlign w:val="bottom"/>
            <w:tcBorders>
              <w:bottom w:val="single" w:sz="8" w:color="auto"/>
            </w:tcBorders>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80" w:type="dxa"/>
            <w:vAlign w:val="bottom"/>
            <w:tcBorders>
              <w:bottom w:val="single" w:sz="8" w:color="DBDBDB"/>
            </w:tcBorders>
            <w:shd w:val="clear" w:color="auto" w:fill="1D2758"/>
          </w:tcPr>
          <w:p>
            <w:pPr>
              <w:spacing w:after="0"/>
              <w:rPr>
                <w:sz w:val="17"/>
                <w:szCs w:val="17"/>
                <w:color w:val="auto"/>
              </w:rPr>
            </w:pPr>
          </w:p>
        </w:tc>
        <w:tc>
          <w:tcPr>
            <w:tcW w:w="280" w:type="dxa"/>
            <w:vAlign w:val="bottom"/>
            <w:tcBorders>
              <w:bottom w:val="single" w:sz="8" w:color="auto"/>
            </w:tcBorders>
            <w:shd w:val="clear" w:color="auto" w:fill="1D2758"/>
          </w:tcPr>
          <w:p>
            <w:pPr>
              <w:spacing w:after="0"/>
              <w:rPr>
                <w:sz w:val="17"/>
                <w:szCs w:val="17"/>
                <w:color w:val="auto"/>
              </w:rPr>
            </w:pPr>
          </w:p>
        </w:tc>
        <w:tc>
          <w:tcPr>
            <w:tcW w:w="1400" w:type="dxa"/>
            <w:vAlign w:val="bottom"/>
            <w:tcBorders>
              <w:bottom w:val="single" w:sz="8" w:color="auto"/>
            </w:tcBorders>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tcBorders>
              <w:bottom w:val="single" w:sz="8" w:color="DBDBDB"/>
            </w:tcBorders>
            <w:shd w:val="clear" w:color="auto" w:fill="1D2758"/>
          </w:tcPr>
          <w:p>
            <w:pPr>
              <w:spacing w:after="0"/>
              <w:rPr>
                <w:sz w:val="17"/>
                <w:szCs w:val="17"/>
                <w:color w:val="auto"/>
              </w:rPr>
            </w:pPr>
          </w:p>
        </w:tc>
        <w:tc>
          <w:tcPr>
            <w:tcW w:w="380" w:type="dxa"/>
            <w:vAlign w:val="bottom"/>
            <w:tcBorders>
              <w:bottom w:val="single" w:sz="8" w:color="auto"/>
            </w:tcBorders>
            <w:shd w:val="clear" w:color="auto" w:fill="1D2758"/>
          </w:tcPr>
          <w:p>
            <w:pPr>
              <w:spacing w:after="0"/>
              <w:rPr>
                <w:sz w:val="17"/>
                <w:szCs w:val="17"/>
                <w:color w:val="auto"/>
              </w:rPr>
            </w:pPr>
          </w:p>
        </w:tc>
        <w:tc>
          <w:tcPr>
            <w:tcW w:w="1280" w:type="dxa"/>
            <w:vAlign w:val="bottom"/>
            <w:tcBorders>
              <w:bottom w:val="single" w:sz="8" w:color="auto"/>
            </w:tcBorders>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99"/>
        </w:trPr>
        <w:tc>
          <w:tcPr>
            <w:tcW w:w="4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85,728</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57,113</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200,099</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75,278</w:t>
            </w:r>
          </w:p>
        </w:tc>
        <w:tc>
          <w:tcPr>
            <w:tcW w:w="0" w:type="dxa"/>
            <w:vAlign w:val="bottom"/>
          </w:tcPr>
          <w:p>
            <w:pPr>
              <w:spacing w:after="0"/>
              <w:rPr>
                <w:sz w:val="1"/>
                <w:szCs w:val="1"/>
                <w:color w:val="auto"/>
              </w:rPr>
            </w:pPr>
          </w:p>
        </w:tc>
      </w:tr>
      <w:tr>
        <w:trPr>
          <w:trHeight w:val="205"/>
        </w:trPr>
        <w:tc>
          <w:tcPr>
            <w:tcW w:w="43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136"/>
        </w:trPr>
        <w:tc>
          <w:tcPr>
            <w:tcW w:w="4340" w:type="dxa"/>
            <w:vAlign w:val="bottom"/>
            <w:shd w:val="clear" w:color="auto" w:fill="DBDBDB"/>
          </w:tcPr>
          <w:p>
            <w:pPr>
              <w:ind w:left="20"/>
              <w:spacing w:after="0" w:line="136" w:lineRule="exact"/>
              <w:rPr>
                <w:sz w:val="20"/>
                <w:szCs w:val="20"/>
                <w:color w:val="auto"/>
              </w:rPr>
            </w:pPr>
            <w:r>
              <w:rPr>
                <w:rFonts w:ascii="Arial" w:cs="Arial" w:eastAsia="Arial" w:hAnsi="Arial"/>
                <w:sz w:val="15"/>
                <w:szCs w:val="15"/>
                <w:color w:val="auto"/>
              </w:rPr>
              <w:t>Income from Continuing Operations Excluding Gain/Loss from</w:t>
            </w:r>
          </w:p>
        </w:tc>
        <w:tc>
          <w:tcPr>
            <w:tcW w:w="240" w:type="dxa"/>
            <w:vAlign w:val="bottom"/>
            <w:vMerge w:val="restart"/>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500" w:type="dxa"/>
            <w:vAlign w:val="bottom"/>
            <w:vMerge w:val="restart"/>
            <w:shd w:val="clear" w:color="auto" w:fill="DBDBDB"/>
          </w:tcPr>
          <w:p>
            <w:pPr>
              <w:jc w:val="right"/>
              <w:ind w:right="83"/>
              <w:spacing w:after="0"/>
              <w:rPr>
                <w:sz w:val="20"/>
                <w:szCs w:val="20"/>
                <w:color w:val="auto"/>
              </w:rPr>
            </w:pPr>
            <w:r>
              <w:rPr>
                <w:rFonts w:ascii="Arial" w:cs="Arial" w:eastAsia="Arial" w:hAnsi="Arial"/>
                <w:sz w:val="15"/>
                <w:szCs w:val="15"/>
                <w:color w:val="auto"/>
              </w:rPr>
              <w:t>85,728</w:t>
            </w:r>
          </w:p>
        </w:tc>
        <w:tc>
          <w:tcPr>
            <w:tcW w:w="38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57,113</w:t>
            </w:r>
          </w:p>
        </w:tc>
        <w:tc>
          <w:tcPr>
            <w:tcW w:w="80" w:type="dxa"/>
            <w:vAlign w:val="bottom"/>
            <w:shd w:val="clear" w:color="auto" w:fill="DBDBDB"/>
          </w:tcPr>
          <w:p>
            <w:pPr>
              <w:spacing w:after="0"/>
              <w:rPr>
                <w:sz w:val="11"/>
                <w:szCs w:val="11"/>
                <w:color w:val="auto"/>
              </w:rPr>
            </w:pPr>
          </w:p>
        </w:tc>
        <w:tc>
          <w:tcPr>
            <w:tcW w:w="280" w:type="dxa"/>
            <w:vAlign w:val="bottom"/>
            <w:vMerge w:val="restart"/>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4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200,099</w:t>
            </w:r>
          </w:p>
        </w:tc>
        <w:tc>
          <w:tcPr>
            <w:tcW w:w="80" w:type="dxa"/>
            <w:vAlign w:val="bottom"/>
            <w:shd w:val="clear" w:color="auto" w:fill="DBDBDB"/>
          </w:tcPr>
          <w:p>
            <w:pPr>
              <w:spacing w:after="0"/>
              <w:rPr>
                <w:sz w:val="11"/>
                <w:szCs w:val="11"/>
                <w:color w:val="auto"/>
              </w:rPr>
            </w:pPr>
          </w:p>
        </w:tc>
        <w:tc>
          <w:tcPr>
            <w:tcW w:w="380" w:type="dxa"/>
            <w:vAlign w:val="bottom"/>
            <w:vMerge w:val="restart"/>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101,875</w:t>
            </w:r>
          </w:p>
        </w:tc>
        <w:tc>
          <w:tcPr>
            <w:tcW w:w="0" w:type="dxa"/>
            <w:vAlign w:val="bottom"/>
          </w:tcPr>
          <w:p>
            <w:pPr>
              <w:spacing w:after="0"/>
              <w:rPr>
                <w:sz w:val="1"/>
                <w:szCs w:val="1"/>
                <w:color w:val="auto"/>
              </w:rPr>
            </w:pPr>
          </w:p>
        </w:tc>
      </w:tr>
      <w:tr>
        <w:trPr>
          <w:trHeight w:val="200"/>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Warrants</w:t>
            </w:r>
          </w:p>
        </w:tc>
        <w:tc>
          <w:tcPr>
            <w:tcW w:w="240" w:type="dxa"/>
            <w:vAlign w:val="bottom"/>
            <w:tcBorders>
              <w:bottom w:val="single" w:sz="8" w:color="auto"/>
            </w:tcBorders>
            <w:vMerge w:val="continue"/>
            <w:shd w:val="clear" w:color="auto" w:fill="DBDBDB"/>
          </w:tcPr>
          <w:p>
            <w:pPr>
              <w:spacing w:after="0"/>
              <w:rPr>
                <w:sz w:val="17"/>
                <w:szCs w:val="17"/>
                <w:color w:val="auto"/>
              </w:rPr>
            </w:pPr>
          </w:p>
        </w:tc>
        <w:tc>
          <w:tcPr>
            <w:tcW w:w="1500" w:type="dxa"/>
            <w:vAlign w:val="bottom"/>
            <w:tcBorders>
              <w:bottom w:val="single" w:sz="8" w:color="auto"/>
            </w:tcBorders>
            <w:vMerge w:val="continue"/>
            <w:shd w:val="clear" w:color="auto" w:fill="DBDBDB"/>
          </w:tcPr>
          <w:p>
            <w:pPr>
              <w:spacing w:after="0"/>
              <w:rPr>
                <w:sz w:val="17"/>
                <w:szCs w:val="17"/>
                <w:color w:val="auto"/>
              </w:rPr>
            </w:pPr>
          </w:p>
        </w:tc>
        <w:tc>
          <w:tcPr>
            <w:tcW w:w="380" w:type="dxa"/>
            <w:vAlign w:val="bottom"/>
            <w:tcBorders>
              <w:bottom w:val="single" w:sz="8" w:color="auto"/>
            </w:tcBorders>
            <w:vMerge w:val="continue"/>
            <w:shd w:val="clear" w:color="auto" w:fill="DBDBDB"/>
          </w:tcPr>
          <w:p>
            <w:pPr>
              <w:spacing w:after="0"/>
              <w:rPr>
                <w:sz w:val="17"/>
                <w:szCs w:val="17"/>
                <w:color w:val="auto"/>
              </w:rPr>
            </w:pPr>
          </w:p>
        </w:tc>
        <w:tc>
          <w:tcPr>
            <w:tcW w:w="128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vMerge w:val="continue"/>
            <w:shd w:val="clear" w:color="auto" w:fill="DBDBDB"/>
          </w:tcPr>
          <w:p>
            <w:pPr>
              <w:spacing w:after="0"/>
              <w:rPr>
                <w:sz w:val="17"/>
                <w:szCs w:val="17"/>
                <w:color w:val="auto"/>
              </w:rPr>
            </w:pPr>
          </w:p>
        </w:tc>
        <w:tc>
          <w:tcPr>
            <w:tcW w:w="1400" w:type="dxa"/>
            <w:vAlign w:val="bottom"/>
            <w:tcBorders>
              <w:bottom w:val="single" w:sz="8" w:color="auto"/>
            </w:tcBorders>
            <w:vMerge w:val="continue"/>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vMerge w:val="continue"/>
            <w:shd w:val="clear" w:color="auto" w:fill="DBDBDB"/>
          </w:tcPr>
          <w:p>
            <w:pPr>
              <w:spacing w:after="0"/>
              <w:rPr>
                <w:sz w:val="17"/>
                <w:szCs w:val="17"/>
                <w:color w:val="auto"/>
              </w:rPr>
            </w:pPr>
          </w:p>
        </w:tc>
        <w:tc>
          <w:tcPr>
            <w:tcW w:w="128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 Margin</w:t>
      </w:r>
    </w:p>
    <w:p>
      <w:pPr>
        <w:spacing w:after="0" w:line="10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Adjusted EBITDA Margin as Adjusted EBITDA divided by revenue. Income from Continuing Operations Margin is defined as Income from continuing operations divided by revenue. Management believes that the presentation of Adjusted EBITDA Margin and Income from Continuing Operations Margin provides useful information to investors regarding the performance of our business. The following table provides unaudited reconciliations of Adjusted EBITDA Margin and Income from Continuing Operations Margin: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3320" w:type="dxa"/>
            <w:vAlign w:val="bottom"/>
            <w:gridSpan w:val="5"/>
            <w:shd w:val="clear" w:color="auto" w:fill="1D2758"/>
          </w:tcPr>
          <w:p>
            <w:pPr>
              <w:ind w:left="160"/>
              <w:spacing w:after="0"/>
              <w:rPr>
                <w:sz w:val="20"/>
                <w:szCs w:val="20"/>
                <w:color w:val="auto"/>
              </w:rPr>
            </w:pPr>
            <w:r>
              <w:rPr>
                <w:rFonts w:ascii="Arial" w:cs="Arial" w:eastAsia="Arial" w:hAnsi="Arial"/>
                <w:sz w:val="15"/>
                <w:szCs w:val="15"/>
                <w:b w:val="1"/>
                <w:bCs w:val="1"/>
                <w:color w:val="FFFFFF"/>
              </w:rPr>
              <w:t>Three Months Ended September 30,</w:t>
            </w:r>
          </w:p>
        </w:tc>
        <w:tc>
          <w:tcPr>
            <w:tcW w:w="320" w:type="dxa"/>
            <w:vAlign w:val="bottom"/>
            <w:shd w:val="clear" w:color="auto" w:fill="1D2758"/>
          </w:tcPr>
          <w:p>
            <w:pPr>
              <w:spacing w:after="0"/>
              <w:rPr>
                <w:sz w:val="17"/>
                <w:szCs w:val="17"/>
                <w:color w:val="auto"/>
              </w:rPr>
            </w:pPr>
          </w:p>
        </w:tc>
        <w:tc>
          <w:tcPr>
            <w:tcW w:w="3260" w:type="dxa"/>
            <w:vAlign w:val="bottom"/>
            <w:gridSpan w:val="4"/>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4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32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(A)</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251,339</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179,203</w:t>
            </w: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652,529</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499,359</w:t>
            </w:r>
          </w:p>
        </w:tc>
      </w:tr>
      <w:tr>
        <w:trPr>
          <w:trHeight w:val="205"/>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Revenue (B)</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604,173</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461,047</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1,632,339</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1,295,634</w:t>
            </w:r>
          </w:p>
        </w:tc>
      </w:tr>
      <w:tr>
        <w:trPr>
          <w:trHeight w:val="200"/>
        </w:trPr>
        <w:tc>
          <w:tcPr>
            <w:tcW w:w="4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Margin (A/B)</w:t>
            </w:r>
          </w:p>
        </w:tc>
        <w:tc>
          <w:tcPr>
            <w:tcW w:w="26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41.6 %</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38.9 %</w:t>
            </w:r>
          </w:p>
        </w:tc>
        <w:tc>
          <w:tcPr>
            <w:tcW w:w="80" w:type="dxa"/>
            <w:vAlign w:val="bottom"/>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40.0 %</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38.5 %</w:t>
            </w:r>
          </w:p>
        </w:tc>
      </w:tr>
      <w:tr>
        <w:trPr>
          <w:trHeight w:val="198"/>
        </w:trPr>
        <w:tc>
          <w:tcPr>
            <w:tcW w:w="4080" w:type="dxa"/>
            <w:vAlign w:val="bottom"/>
          </w:tcPr>
          <w:p>
            <w:pPr>
              <w:ind w:left="20"/>
              <w:spacing w:after="0"/>
              <w:rPr>
                <w:sz w:val="20"/>
                <w:szCs w:val="20"/>
                <w:color w:val="auto"/>
              </w:rPr>
            </w:pPr>
            <w:r>
              <w:rPr>
                <w:rFonts w:ascii="Arial" w:cs="Arial" w:eastAsia="Arial" w:hAnsi="Arial"/>
                <w:sz w:val="15"/>
                <w:szCs w:val="15"/>
                <w:color w:val="auto"/>
              </w:rPr>
              <w:t>Income from continuing operations (C)</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123"/>
              <w:spacing w:after="0"/>
              <w:rPr>
                <w:sz w:val="20"/>
                <w:szCs w:val="20"/>
                <w:color w:val="auto"/>
              </w:rPr>
            </w:pPr>
            <w:r>
              <w:rPr>
                <w:rFonts w:ascii="Arial" w:cs="Arial" w:eastAsia="Arial" w:hAnsi="Arial"/>
                <w:sz w:val="15"/>
                <w:szCs w:val="15"/>
                <w:color w:val="auto"/>
              </w:rPr>
              <w:t>85,728</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3"/>
              <w:spacing w:after="0"/>
              <w:rPr>
                <w:sz w:val="20"/>
                <w:szCs w:val="20"/>
                <w:color w:val="auto"/>
              </w:rPr>
            </w:pPr>
            <w:r>
              <w:rPr>
                <w:rFonts w:ascii="Arial" w:cs="Arial" w:eastAsia="Arial" w:hAnsi="Arial"/>
                <w:sz w:val="15"/>
                <w:szCs w:val="15"/>
                <w:color w:val="auto"/>
              </w:rPr>
              <w:t>57,113</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200,099</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3"/>
              <w:spacing w:after="0"/>
              <w:rPr>
                <w:sz w:val="20"/>
                <w:szCs w:val="20"/>
                <w:color w:val="auto"/>
              </w:rPr>
            </w:pPr>
            <w:r>
              <w:rPr>
                <w:rFonts w:ascii="Arial" w:cs="Arial" w:eastAsia="Arial" w:hAnsi="Arial"/>
                <w:sz w:val="15"/>
                <w:szCs w:val="15"/>
                <w:color w:val="auto"/>
              </w:rPr>
              <w:t>75,278</w:t>
            </w:r>
          </w:p>
        </w:tc>
      </w:tr>
      <w:tr>
        <w:trPr>
          <w:trHeight w:val="207"/>
        </w:trPr>
        <w:tc>
          <w:tcPr>
            <w:tcW w:w="4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Continuing Operations Margin (C/B)</w:t>
            </w:r>
          </w:p>
        </w:tc>
        <w:tc>
          <w:tcPr>
            <w:tcW w:w="26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14.2 %</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12.4 %</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12.3 %</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5.8 %</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Gross Profit and Adjusted Gross Profit Percentage</w:t>
      </w:r>
    </w:p>
    <w:p>
      <w:pPr>
        <w:spacing w:after="0" w:line="5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and assists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6" w:name="page47"/>
    <w:bookmarkEnd w:id="46"/>
    <w:p>
      <w:pPr>
        <w:ind w:left="620"/>
        <w:spacing w:after="0"/>
        <w:rPr>
          <w:sz w:val="20"/>
          <w:szCs w:val="20"/>
          <w:color w:val="auto"/>
        </w:rPr>
      </w:pPr>
      <w:r>
        <w:rPr>
          <w:rFonts w:ascii="Arial" w:cs="Arial" w:eastAsia="Arial" w:hAnsi="Arial"/>
          <w:sz w:val="15"/>
          <w:szCs w:val="15"/>
          <w:color w:val="auto"/>
        </w:rPr>
        <w:t>The following table provides unaudited reconciliations of gross profit to Adjusted Gross Profit and Adjusted Gross Profit Percentage: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3080" w:type="dxa"/>
            <w:vAlign w:val="bottom"/>
            <w:gridSpan w:val="3"/>
            <w:shd w:val="clear" w:color="auto" w:fill="1D2758"/>
          </w:tcPr>
          <w:p>
            <w:pPr>
              <w:jc w:val="center"/>
              <w:ind w:right="263"/>
              <w:spacing w:after="0"/>
              <w:rPr>
                <w:sz w:val="20"/>
                <w:szCs w:val="20"/>
                <w:color w:val="auto"/>
              </w:rPr>
            </w:pPr>
            <w:r>
              <w:rPr>
                <w:rFonts w:ascii="Arial" w:cs="Arial" w:eastAsia="Arial" w:hAnsi="Arial"/>
                <w:sz w:val="15"/>
                <w:szCs w:val="15"/>
                <w:b w:val="1"/>
                <w:bCs w:val="1"/>
                <w:color w:val="FFFFFF"/>
              </w:rPr>
              <w:t>Three Months Ended</w:t>
            </w:r>
          </w:p>
        </w:tc>
        <w:tc>
          <w:tcPr>
            <w:tcW w:w="540" w:type="dxa"/>
            <w:vAlign w:val="bottom"/>
            <w:shd w:val="clear" w:color="auto" w:fill="1D2758"/>
          </w:tcPr>
          <w:p>
            <w:pPr>
              <w:spacing w:after="0"/>
              <w:rPr>
                <w:sz w:val="17"/>
                <w:szCs w:val="17"/>
                <w:color w:val="auto"/>
              </w:rPr>
            </w:pPr>
          </w:p>
        </w:tc>
        <w:tc>
          <w:tcPr>
            <w:tcW w:w="2100" w:type="dxa"/>
            <w:vAlign w:val="bottom"/>
            <w:gridSpan w:val="2"/>
            <w:shd w:val="clear" w:color="auto" w:fill="1D2758"/>
          </w:tcPr>
          <w:p>
            <w:pPr>
              <w:jc w:val="center"/>
              <w:ind w:left="583"/>
              <w:spacing w:after="0"/>
              <w:rPr>
                <w:sz w:val="20"/>
                <w:szCs w:val="20"/>
                <w:color w:val="auto"/>
              </w:rPr>
            </w:pPr>
            <w:r>
              <w:rPr>
                <w:rFonts w:ascii="Arial" w:cs="Arial" w:eastAsia="Arial" w:hAnsi="Arial"/>
                <w:sz w:val="15"/>
                <w:szCs w:val="15"/>
                <w:b w:val="1"/>
                <w:bCs w:val="1"/>
                <w:color w:val="FFFFFF"/>
              </w:rPr>
              <w:t>Nine Months Ended</w:t>
            </w:r>
          </w:p>
        </w:tc>
        <w:tc>
          <w:tcPr>
            <w:tcW w:w="1040" w:type="dxa"/>
            <w:vAlign w:val="bottom"/>
            <w:shd w:val="clear" w:color="auto" w:fill="1D2758"/>
          </w:tcPr>
          <w:p>
            <w:pPr>
              <w:spacing w:after="0"/>
              <w:rPr>
                <w:sz w:val="17"/>
                <w:szCs w:val="17"/>
                <w:color w:val="auto"/>
              </w:rPr>
            </w:pPr>
          </w:p>
        </w:tc>
      </w:tr>
      <w:tr>
        <w:trPr>
          <w:trHeight w:val="205"/>
        </w:trPr>
        <w:tc>
          <w:tcPr>
            <w:tcW w:w="40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000" w:type="dxa"/>
            <w:vAlign w:val="bottom"/>
            <w:gridSpan w:val="2"/>
            <w:shd w:val="clear" w:color="auto" w:fill="1D2758"/>
          </w:tcPr>
          <w:p>
            <w:pPr>
              <w:jc w:val="center"/>
              <w:ind w:left="66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c>
          <w:tcPr>
            <w:tcW w:w="540" w:type="dxa"/>
            <w:vAlign w:val="bottom"/>
            <w:shd w:val="clear" w:color="auto" w:fill="1D2758"/>
          </w:tcPr>
          <w:p>
            <w:pPr>
              <w:spacing w:after="0"/>
              <w:rPr>
                <w:sz w:val="17"/>
                <w:szCs w:val="17"/>
                <w:color w:val="auto"/>
              </w:rPr>
            </w:pPr>
          </w:p>
        </w:tc>
        <w:tc>
          <w:tcPr>
            <w:tcW w:w="2100" w:type="dxa"/>
            <w:vAlign w:val="bottom"/>
            <w:gridSpan w:val="2"/>
            <w:shd w:val="clear" w:color="auto" w:fill="1D2758"/>
          </w:tcPr>
          <w:p>
            <w:pPr>
              <w:jc w:val="center"/>
              <w:ind w:left="563"/>
              <w:spacing w:after="0"/>
              <w:rPr>
                <w:sz w:val="20"/>
                <w:szCs w:val="20"/>
                <w:color w:val="auto"/>
              </w:rPr>
            </w:pPr>
            <w:r>
              <w:rPr>
                <w:rFonts w:ascii="Arial" w:cs="Arial" w:eastAsia="Arial" w:hAnsi="Arial"/>
                <w:sz w:val="15"/>
                <w:szCs w:val="15"/>
                <w:b w:val="1"/>
                <w:bCs w:val="1"/>
                <w:color w:val="FFFFFF"/>
              </w:rPr>
              <w:t>September 30,</w:t>
            </w:r>
          </w:p>
        </w:tc>
        <w:tc>
          <w:tcPr>
            <w:tcW w:w="1040" w:type="dxa"/>
            <w:vAlign w:val="bottom"/>
            <w:shd w:val="clear" w:color="auto" w:fill="1D2758"/>
          </w:tcPr>
          <w:p>
            <w:pPr>
              <w:spacing w:after="0"/>
              <w:rPr>
                <w:sz w:val="17"/>
                <w:szCs w:val="17"/>
                <w:color w:val="auto"/>
              </w:rPr>
            </w:pPr>
          </w:p>
        </w:tc>
      </w:tr>
      <w:tr>
        <w:trPr>
          <w:trHeight w:val="208"/>
        </w:trPr>
        <w:tc>
          <w:tcPr>
            <w:tcW w:w="4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2021</w:t>
            </w:r>
          </w:p>
        </w:tc>
        <w:tc>
          <w:tcPr>
            <w:tcW w:w="54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820" w:type="dxa"/>
            <w:vAlign w:val="bottom"/>
            <w:shd w:val="clear" w:color="auto" w:fill="1D2758"/>
          </w:tcPr>
          <w:p>
            <w:pPr>
              <w:spacing w:after="0"/>
              <w:rPr>
                <w:sz w:val="18"/>
                <w:szCs w:val="18"/>
                <w:color w:val="auto"/>
              </w:rPr>
            </w:pPr>
          </w:p>
        </w:tc>
        <w:tc>
          <w:tcPr>
            <w:tcW w:w="104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 (A)</w:t>
            </w: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604,173</w:t>
            </w:r>
          </w:p>
        </w:tc>
        <w:tc>
          <w:tcPr>
            <w:tcW w:w="72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461,047</w:t>
            </w:r>
          </w:p>
        </w:tc>
        <w:tc>
          <w:tcPr>
            <w:tcW w:w="5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1,632,339</w:t>
            </w:r>
          </w:p>
        </w:tc>
        <w:tc>
          <w:tcPr>
            <w:tcW w:w="820" w:type="dxa"/>
            <w:vAlign w:val="bottom"/>
            <w:shd w:val="clear" w:color="auto" w:fill="DBDBDB"/>
          </w:tcPr>
          <w:p>
            <w:pPr>
              <w:jc w:val="right"/>
              <w:ind w:right="5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1,295,634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138670" cy="130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Arial" w:cs="Arial" w:eastAsia="Arial" w:hAnsi="Arial"/>
                <w:sz w:val="15"/>
                <w:szCs w:val="15"/>
                <w:color w:val="auto"/>
              </w:rPr>
              <w:t>Gross profit (B)</w:t>
            </w:r>
          </w:p>
        </w:tc>
        <w:tc>
          <w:tcPr>
            <w:tcW w:w="5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314,332</w:t>
            </w:r>
          </w:p>
        </w:tc>
      </w:tr>
      <w:tr>
        <w:trPr>
          <w:trHeight w:val="206"/>
        </w:trPr>
        <w:tc>
          <w:tcPr>
            <w:tcW w:w="4060" w:type="dxa"/>
            <w:vAlign w:val="bottom"/>
          </w:tcPr>
          <w:p>
            <w:pPr>
              <w:spacing w:after="0"/>
              <w:rPr>
                <w:sz w:val="20"/>
                <w:szCs w:val="20"/>
                <w:color w:val="auto"/>
              </w:rPr>
            </w:pPr>
            <w:r>
              <w:rPr>
                <w:rFonts w:ascii="Arial" w:cs="Arial" w:eastAsia="Arial" w:hAnsi="Arial"/>
                <w:sz w:val="15"/>
                <w:szCs w:val="15"/>
                <w:color w:val="auto"/>
              </w:rPr>
              <w:t>Depreciation of rental equipment</w:t>
            </w: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69,159</w:t>
            </w:r>
          </w:p>
        </w:tc>
      </w:tr>
      <w:tr>
        <w:trPr>
          <w:trHeight w:val="200"/>
        </w:trPr>
        <w:tc>
          <w:tcPr>
            <w:tcW w:w="4060" w:type="dxa"/>
            <w:vAlign w:val="bottom"/>
          </w:tcPr>
          <w:p>
            <w:pPr>
              <w:ind w:left="200"/>
              <w:spacing w:after="0"/>
              <w:rPr>
                <w:sz w:val="20"/>
                <w:szCs w:val="20"/>
                <w:color w:val="auto"/>
              </w:rPr>
            </w:pPr>
            <w:r>
              <w:rPr>
                <w:rFonts w:ascii="Arial" w:cs="Arial" w:eastAsia="Arial" w:hAnsi="Arial"/>
                <w:sz w:val="15"/>
                <w:szCs w:val="15"/>
                <w:color w:val="auto"/>
              </w:rPr>
              <w:t>Adjusted Gross Profit (C)</w:t>
            </w:r>
          </w:p>
        </w:tc>
        <w:tc>
          <w:tcPr>
            <w:tcW w:w="5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383,491</w:t>
            </w:r>
          </w:p>
        </w:tc>
      </w:tr>
      <w:tr>
        <w:trPr>
          <w:trHeight w:val="20"/>
        </w:trPr>
        <w:tc>
          <w:tcPr>
            <w:tcW w:w="4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155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239,226</w:t>
            </w:r>
          </w:p>
        </w:tc>
        <w:tc>
          <w:tcPr>
            <w:tcW w:w="6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83"/>
              <w:spacing w:after="0"/>
              <w:rPr>
                <w:sz w:val="20"/>
                <w:szCs w:val="20"/>
                <w:color w:val="auto"/>
              </w:rPr>
            </w:pPr>
            <w:r>
              <w:rPr>
                <w:rFonts w:ascii="Arial" w:cs="Arial" w:eastAsia="Arial" w:hAnsi="Arial"/>
                <w:sz w:val="15"/>
                <w:szCs w:val="15"/>
                <w:color w:val="auto"/>
              </w:rPr>
              <w:t>858,615</w:t>
            </w:r>
          </w:p>
        </w:tc>
        <w:tc>
          <w:tcPr>
            <w:tcW w:w="6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651,134</w:t>
            </w:r>
          </w:p>
        </w:tc>
      </w:tr>
      <w:tr>
        <w:trPr>
          <w:trHeight w:val="207"/>
        </w:trPr>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52,990</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192,228</w:t>
            </w: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165,027</w:t>
            </w:r>
          </w:p>
        </w:tc>
      </w:tr>
      <w:tr>
        <w:trPr>
          <w:trHeight w:val="199"/>
        </w:trPr>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292,216</w:t>
            </w:r>
          </w:p>
        </w:tc>
        <w:tc>
          <w:tcPr>
            <w:tcW w:w="6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1,050,843</w:t>
            </w:r>
          </w:p>
        </w:tc>
        <w:tc>
          <w:tcPr>
            <w:tcW w:w="6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816,161</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00" w:space="100"/>
            <w:col w:w="5340"/>
          </w:cols>
          <w:pgMar w:left="320" w:top="1056" w:right="3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Percentage (B/A)</w:t>
            </w:r>
          </w:p>
        </w:tc>
        <w:tc>
          <w:tcPr>
            <w:tcW w:w="242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52.0 %</w:t>
            </w:r>
          </w:p>
        </w:tc>
        <w:tc>
          <w:tcPr>
            <w:tcW w:w="182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51.9 %</w:t>
            </w:r>
          </w:p>
        </w:tc>
        <w:tc>
          <w:tcPr>
            <w:tcW w:w="182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52.6 %</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50.3 %</w:t>
            </w:r>
          </w:p>
        </w:tc>
      </w:tr>
      <w:tr>
        <w:trPr>
          <w:trHeight w:val="205"/>
        </w:trPr>
        <w:tc>
          <w:tcPr>
            <w:tcW w:w="4020" w:type="dxa"/>
            <w:vAlign w:val="bottom"/>
          </w:tcPr>
          <w:p>
            <w:pPr>
              <w:ind w:left="20"/>
              <w:spacing w:after="0"/>
              <w:rPr>
                <w:sz w:val="20"/>
                <w:szCs w:val="20"/>
                <w:color w:val="auto"/>
              </w:rPr>
            </w:pPr>
            <w:r>
              <w:rPr>
                <w:rFonts w:ascii="Arial" w:cs="Arial" w:eastAsia="Arial" w:hAnsi="Arial"/>
                <w:sz w:val="15"/>
                <w:szCs w:val="15"/>
                <w:color w:val="auto"/>
              </w:rPr>
              <w:t>Adjusted Gross Profit Percentage (C/A)</w:t>
            </w:r>
          </w:p>
        </w:tc>
        <w:tc>
          <w:tcPr>
            <w:tcW w:w="2420" w:type="dxa"/>
            <w:vAlign w:val="bottom"/>
          </w:tcPr>
          <w:p>
            <w:pPr>
              <w:jc w:val="right"/>
              <w:ind w:right="583"/>
              <w:spacing w:after="0"/>
              <w:rPr>
                <w:sz w:val="20"/>
                <w:szCs w:val="20"/>
                <w:color w:val="auto"/>
              </w:rPr>
            </w:pPr>
            <w:r>
              <w:rPr>
                <w:rFonts w:ascii="Arial" w:cs="Arial" w:eastAsia="Arial" w:hAnsi="Arial"/>
                <w:sz w:val="15"/>
                <w:szCs w:val="15"/>
                <w:color w:val="auto"/>
              </w:rPr>
              <w:t>63.5 %</w:t>
            </w:r>
          </w:p>
        </w:tc>
        <w:tc>
          <w:tcPr>
            <w:tcW w:w="1820" w:type="dxa"/>
            <w:vAlign w:val="bottom"/>
          </w:tcPr>
          <w:p>
            <w:pPr>
              <w:jc w:val="right"/>
              <w:ind w:right="583"/>
              <w:spacing w:after="0"/>
              <w:rPr>
                <w:sz w:val="20"/>
                <w:szCs w:val="20"/>
                <w:color w:val="auto"/>
              </w:rPr>
            </w:pPr>
            <w:r>
              <w:rPr>
                <w:rFonts w:ascii="Arial" w:cs="Arial" w:eastAsia="Arial" w:hAnsi="Arial"/>
                <w:sz w:val="15"/>
                <w:szCs w:val="15"/>
                <w:color w:val="auto"/>
              </w:rPr>
              <w:t>63.4 %</w:t>
            </w:r>
          </w:p>
        </w:tc>
        <w:tc>
          <w:tcPr>
            <w:tcW w:w="1820" w:type="dxa"/>
            <w:vAlign w:val="bottom"/>
          </w:tcPr>
          <w:p>
            <w:pPr>
              <w:jc w:val="right"/>
              <w:ind w:right="583"/>
              <w:spacing w:after="0"/>
              <w:rPr>
                <w:sz w:val="20"/>
                <w:szCs w:val="20"/>
                <w:color w:val="auto"/>
              </w:rPr>
            </w:pPr>
            <w:r>
              <w:rPr>
                <w:rFonts w:ascii="Arial" w:cs="Arial" w:eastAsia="Arial" w:hAnsi="Arial"/>
                <w:sz w:val="15"/>
                <w:szCs w:val="15"/>
                <w:color w:val="auto"/>
              </w:rPr>
              <w:t>64.4 %</w:t>
            </w:r>
          </w:p>
        </w:tc>
        <w:tc>
          <w:tcPr>
            <w:tcW w:w="1160" w:type="dxa"/>
            <w:vAlign w:val="bottom"/>
          </w:tcPr>
          <w:p>
            <w:pPr>
              <w:jc w:val="right"/>
              <w:spacing w:after="0"/>
              <w:rPr>
                <w:sz w:val="20"/>
                <w:szCs w:val="20"/>
                <w:color w:val="auto"/>
              </w:rPr>
            </w:pPr>
            <w:r>
              <w:rPr>
                <w:rFonts w:ascii="Arial" w:cs="Arial" w:eastAsia="Arial" w:hAnsi="Arial"/>
                <w:sz w:val="15"/>
                <w:szCs w:val="15"/>
                <w:color w:val="auto"/>
              </w:rPr>
              <w:t>63.0 %</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12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to investors regarding the net capital invested into our rental fleet and plant, property and equipment each year to assist in analyzing the performance of our business. The following table provides unaudited reconciliations of Net CAPEX: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4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400" w:type="dxa"/>
            <w:vAlign w:val="bottom"/>
            <w:gridSpan w:val="3"/>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Three Months Ended</w:t>
            </w:r>
          </w:p>
        </w:tc>
        <w:tc>
          <w:tcPr>
            <w:tcW w:w="6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040" w:type="dxa"/>
            <w:vAlign w:val="bottom"/>
            <w:gridSpan w:val="3"/>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Nine Months Ended</w:t>
            </w:r>
          </w:p>
        </w:tc>
      </w:tr>
      <w:tr>
        <w:trPr>
          <w:trHeight w:val="205"/>
        </w:trPr>
        <w:tc>
          <w:tcPr>
            <w:tcW w:w="434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400" w:type="dxa"/>
            <w:vAlign w:val="bottom"/>
            <w:gridSpan w:val="3"/>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September 30,</w:t>
            </w:r>
          </w:p>
        </w:tc>
        <w:tc>
          <w:tcPr>
            <w:tcW w:w="6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960" w:type="dxa"/>
            <w:vAlign w:val="bottom"/>
            <w:gridSpan w:val="2"/>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September 30,</w:t>
            </w:r>
          </w:p>
        </w:tc>
        <w:tc>
          <w:tcPr>
            <w:tcW w:w="1080" w:type="dxa"/>
            <w:vAlign w:val="bottom"/>
            <w:shd w:val="clear" w:color="auto" w:fill="1D2758"/>
          </w:tcPr>
          <w:p>
            <w:pPr>
              <w:spacing w:after="0"/>
              <w:rPr>
                <w:sz w:val="17"/>
                <w:szCs w:val="17"/>
                <w:color w:val="auto"/>
              </w:rPr>
            </w:pPr>
          </w:p>
        </w:tc>
      </w:tr>
      <w:tr>
        <w:trPr>
          <w:trHeight w:val="208"/>
        </w:trPr>
        <w:tc>
          <w:tcPr>
            <w:tcW w:w="43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10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6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6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purchases of rental equipment and refurbishments</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(135,076)</w:t>
            </w: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843"/>
              <w:spacing w:after="0"/>
              <w:rPr>
                <w:sz w:val="20"/>
                <w:szCs w:val="20"/>
                <w:color w:val="auto"/>
              </w:rPr>
            </w:pPr>
            <w:r>
              <w:rPr>
                <w:rFonts w:ascii="Arial" w:cs="Arial" w:eastAsia="Arial" w:hAnsi="Arial"/>
                <w:sz w:val="15"/>
                <w:szCs w:val="15"/>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(60,374)</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(360,465)</w:t>
            </w:r>
          </w:p>
        </w:tc>
        <w:tc>
          <w:tcPr>
            <w:tcW w:w="620" w:type="dxa"/>
            <w:vAlign w:val="bottom"/>
            <w:shd w:val="clear" w:color="auto" w:fill="DBDBDB"/>
          </w:tcPr>
          <w:p>
            <w:pPr>
              <w:jc w:val="right"/>
              <w:ind w:right="403"/>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(178,191)</w:t>
            </w:r>
          </w:p>
        </w:tc>
      </w:tr>
      <w:tr>
        <w:trPr>
          <w:trHeight w:val="205"/>
        </w:trPr>
        <w:tc>
          <w:tcPr>
            <w:tcW w:w="43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proceeds from sale of rental equipment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17,183</w:t>
            </w:r>
          </w:p>
        </w:tc>
        <w:tc>
          <w:tcPr>
            <w:tcW w:w="80" w:type="dxa"/>
            <w:vAlign w:val="bottom"/>
            <w:tcBorders>
              <w:bottom w:val="single" w:sz="8" w:color="DBDBDB"/>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11,597</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52,263</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42,034</w:t>
            </w:r>
          </w:p>
        </w:tc>
      </w:tr>
      <w:tr>
        <w:trPr>
          <w:trHeight w:val="200"/>
        </w:trPr>
        <w:tc>
          <w:tcPr>
            <w:tcW w:w="4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3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(117,893)</w:t>
            </w: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(48,777)</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(308,202)</w:t>
            </w:r>
          </w:p>
        </w:tc>
        <w:tc>
          <w:tcPr>
            <w:tcW w:w="6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(136,157)</w:t>
            </w:r>
          </w:p>
        </w:tc>
      </w:tr>
      <w:tr>
        <w:trPr>
          <w:trHeight w:val="205"/>
        </w:trPr>
        <w:tc>
          <w:tcPr>
            <w:tcW w:w="4340" w:type="dxa"/>
            <w:vAlign w:val="bottom"/>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(3,386)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(30,253)</w:t>
            </w:r>
          </w:p>
        </w:tc>
        <w:tc>
          <w:tcPr>
            <w:tcW w:w="6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(20,836)</w:t>
            </w:r>
          </w:p>
        </w:tc>
      </w:tr>
      <w:tr>
        <w:trPr>
          <w:trHeight w:val="207"/>
        </w:trPr>
        <w:tc>
          <w:tcPr>
            <w:tcW w:w="4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894</w:t>
            </w:r>
          </w:p>
        </w:tc>
        <w:tc>
          <w:tcPr>
            <w:tcW w:w="80" w:type="dxa"/>
            <w:vAlign w:val="bottom"/>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209</w:t>
            </w:r>
          </w:p>
        </w:tc>
        <w:tc>
          <w:tcPr>
            <w:tcW w:w="8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1,645</w:t>
            </w:r>
          </w:p>
        </w:tc>
        <w:tc>
          <w:tcPr>
            <w:tcW w:w="6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16,647</w:t>
            </w:r>
          </w:p>
        </w:tc>
      </w:tr>
      <w:tr>
        <w:trPr>
          <w:trHeight w:val="198"/>
        </w:trPr>
        <w:tc>
          <w:tcPr>
            <w:tcW w:w="434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(126,999)</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(51,954)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(336,810)</w:t>
            </w:r>
          </w:p>
        </w:tc>
        <w:tc>
          <w:tcPr>
            <w:tcW w:w="6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(140,346)</w:t>
            </w:r>
          </w:p>
        </w:tc>
      </w:tr>
      <w:tr>
        <w:trPr>
          <w:trHeight w:val="20"/>
        </w:trPr>
        <w:tc>
          <w:tcPr>
            <w:tcW w:w="4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WillScot Mobile Mini is a holding company that derives its operating cash flow from its operating subsidiaries. Our principal sources of liquidity include cash generated by operating activities from our subsidiaries, borrowings under the ABL Facility (as defined below), and sales of equity and debt securities. We believe that our liquidity sources and operating cash flows are sufficient to address our operating, debt service and capital requirements over the next twelve months.</w:t>
      </w:r>
    </w:p>
    <w:p>
      <w:pPr>
        <w:spacing w:after="0" w:line="1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w:t>
      </w:r>
    </w:p>
    <w:p>
      <w:pPr>
        <w:spacing w:after="0" w:line="1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5"/>
          <w:szCs w:val="15"/>
          <w:color w:val="auto"/>
        </w:rPr>
        <w:t>position through refinancing or restructuring our existing debt or retiring certain of our securities for cash or other consideration.</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together with the US Facility (collectively, the “ABL Facility”), available to be drawn in US Dollars, Canadian Dollars, British Pounds Sterling or Euros. Borrowing availability under the ABL Facility is equal to the lesser of $3.7 billion and the applicable borrowing bases. The borrowing bases are a function of, among other things, the value of the assets in the relevant collateral pool. At September 30, 2022, we had $1.9 billion outstanding principal and $1.1 billion of available borrowing capacity under the ABL Facility.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Comparison for the Nine Months Ended September 30, 2022 and 2021</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Significant factors driving our liquidity include cash flows generated from operating activities and capital expenditures. Our ability to fund our capital needs will be affected by our ongoing ability to generate cash from operations and access to capital markets. The following summarizes our change in cash and cash</w:t>
      </w:r>
    </w:p>
    <w:p>
      <w:pPr>
        <w:sectPr>
          <w:pgSz w:w="11900" w:h="16838" w:orient="portrait"/>
          <w:cols w:equalWidth="0" w:num="1">
            <w:col w:w="11240"/>
          </w:cols>
          <w:pgMar w:left="320" w:top="1056"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equivalents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7138670" cy="417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41719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13867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from operating activities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13867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from financing activities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13867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change in cash and cash equivalents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FFFFFF"/>
        </w:rPr>
        <w:t>Nine Months Ended</w:t>
      </w:r>
    </w:p>
    <w:p>
      <w:pPr>
        <w:jc w:val="center"/>
        <w:ind w:right="-19"/>
        <w:spacing w:after="0"/>
        <w:rPr>
          <w:sz w:val="20"/>
          <w:szCs w:val="20"/>
          <w:color w:val="auto"/>
        </w:rPr>
      </w:pPr>
      <w:r>
        <w:rPr>
          <w:rFonts w:ascii="Arial" w:cs="Arial" w:eastAsia="Arial" w:hAnsi="Arial"/>
          <w:sz w:val="15"/>
          <w:szCs w:val="15"/>
          <w:b w:val="1"/>
          <w:bCs w:val="1"/>
          <w:color w:val="FFFFFF"/>
        </w:rPr>
        <w:t>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80" w:type="dxa"/>
            <w:vAlign w:val="bottom"/>
            <w:shd w:val="clear" w:color="auto" w:fill="1D2758"/>
          </w:tcPr>
          <w:p>
            <w:pPr>
              <w:spacing w:after="0"/>
              <w:rPr>
                <w:sz w:val="24"/>
                <w:szCs w:val="24"/>
                <w:color w:val="auto"/>
              </w:rPr>
            </w:pPr>
          </w:p>
        </w:tc>
        <w:tc>
          <w:tcPr>
            <w:tcW w:w="13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24"/>
                <w:szCs w:val="24"/>
                <w:color w:val="auto"/>
              </w:rPr>
            </w:pPr>
          </w:p>
        </w:tc>
        <w:tc>
          <w:tcPr>
            <w:tcW w:w="380" w:type="dxa"/>
            <w:vAlign w:val="bottom"/>
            <w:shd w:val="clear" w:color="auto" w:fill="1D2758"/>
          </w:tcPr>
          <w:p>
            <w:pPr>
              <w:spacing w:after="0"/>
              <w:rPr>
                <w:sz w:val="24"/>
                <w:szCs w:val="24"/>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r>
      <w:tr>
        <w:trPr>
          <w:trHeight w:val="295"/>
        </w:trPr>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544,238</w:t>
            </w:r>
          </w:p>
        </w:tc>
        <w:tc>
          <w:tcPr>
            <w:tcW w:w="80" w:type="dxa"/>
            <w:vAlign w:val="bottom"/>
          </w:tcPr>
          <w:p>
            <w:pPr>
              <w:spacing w:after="0"/>
              <w:rPr>
                <w:sz w:val="24"/>
                <w:szCs w:val="24"/>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392,055</w:t>
            </w:r>
          </w:p>
        </w:tc>
      </w:tr>
      <w:tr>
        <w:trPr>
          <w:trHeight w:val="297"/>
        </w:trPr>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(225,930)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(196,590)</w:t>
            </w:r>
          </w:p>
        </w:tc>
      </w:tr>
      <w:tr>
        <w:trPr>
          <w:trHeight w:val="297"/>
        </w:trPr>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(313,723)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(208,935)</w:t>
            </w:r>
          </w:p>
        </w:tc>
      </w:tr>
      <w:tr>
        <w:trPr>
          <w:trHeight w:val="297"/>
        </w:trPr>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r>
      <w:tr>
        <w:trPr>
          <w:trHeight w:val="251"/>
        </w:trPr>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2,743</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(13,620)</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7100" w:space="720"/>
            <w:col w:w="3420"/>
          </w:cols>
          <w:pgMar w:left="320" w:top="1056" w:right="3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Cash provided by operating activities for the nine months ended September 30, 2022 was $544.2 million as compared to $392.1 million for the nine months ended September 30, 2021, an increase of $152.2 million, or 38.8%. The increase was due to an increase of $157.5 million of net income, adjusted for non-cash items, partially offset by a decrease of $5.2 million in net changes in operating assets and liabilities.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12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Cash used in investing activities for the nine months ended September 30, 2022 was $225.9 million as compared to $196.6 million for the nine months ended September 30, 2021, an increase of $29.3 million. The increase in cash used in investing activities was driven by a $182.3 million increase in cash used for the purchase of rental equipment and refurbishments, a $152.4 million increase in cash used in acquisitions, net of cash acquired, a $15.0 million decrease in proceeds from sale of property, plant and equipment, and a $9.5 million increase in cash used for the purchase of property, plant and equipment, partially offset by a $319.5 million increase in proceeds from sale of Tank and Pump business and a $10.3 million increase in proceeds from the sale of rental equipment.</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1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Cash used in financing activities for the nine months ended September 30, 2022 was $313.7 million as compared to $208.9 million for the nine months ended September 30, 2021, an increase of $104.8 million. The increase was primarily due to a $195.1 million increase in the repurchase and cancellation of common stock and warrants, an $87.1 million increase in repayment of borrowings, and a $27.0 million increase in principal payments on finance lease obligations, partially offset by a $212.1 million increase in receipts from borrowings.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Cash Flow</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type w:val="continuous"/>
        </w:sectPr>
      </w:pPr>
    </w:p>
    <w:bookmarkStart w:id="48" w:name="page49"/>
    <w:bookmarkEnd w:id="48"/>
    <w:p>
      <w:pPr>
        <w:ind w:left="620"/>
        <w:spacing w:after="0"/>
        <w:rPr>
          <w:sz w:val="20"/>
          <w:szCs w:val="20"/>
          <w:color w:val="auto"/>
        </w:rPr>
      </w:pPr>
      <w:r>
        <w:rPr>
          <w:rFonts w:ascii="Arial" w:cs="Arial" w:eastAsia="Arial" w:hAnsi="Arial"/>
          <w:sz w:val="15"/>
          <w:szCs w:val="15"/>
          <w:color w:val="auto"/>
        </w:rPr>
        <w:t>The following table provides reconciliations of net cash provided by operating activities to Free Cash Flow.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3240" w:type="dxa"/>
            <w:vAlign w:val="bottom"/>
            <w:gridSpan w:val="5"/>
            <w:shd w:val="clear" w:color="auto" w:fill="1D2758"/>
          </w:tcPr>
          <w:p>
            <w:pPr>
              <w:ind w:left="140"/>
              <w:spacing w:after="0"/>
              <w:rPr>
                <w:sz w:val="20"/>
                <w:szCs w:val="20"/>
                <w:color w:val="auto"/>
              </w:rPr>
            </w:pPr>
            <w:r>
              <w:rPr>
                <w:rFonts w:ascii="Arial" w:cs="Arial" w:eastAsia="Arial" w:hAnsi="Arial"/>
                <w:sz w:val="15"/>
                <w:szCs w:val="15"/>
                <w:b w:val="1"/>
                <w:bCs w:val="1"/>
                <w:color w:val="FFFFFF"/>
              </w:rPr>
              <w:t>Three Months Ended September 30,</w:t>
            </w:r>
          </w:p>
        </w:tc>
        <w:tc>
          <w:tcPr>
            <w:tcW w:w="260" w:type="dxa"/>
            <w:vAlign w:val="bottom"/>
            <w:shd w:val="clear" w:color="auto" w:fill="1D2758"/>
          </w:tcPr>
          <w:p>
            <w:pPr>
              <w:spacing w:after="0"/>
              <w:rPr>
                <w:sz w:val="17"/>
                <w:szCs w:val="17"/>
                <w:color w:val="auto"/>
              </w:rPr>
            </w:pPr>
          </w:p>
        </w:tc>
        <w:tc>
          <w:tcPr>
            <w:tcW w:w="3140" w:type="dxa"/>
            <w:vAlign w:val="bottom"/>
            <w:gridSpan w:val="4"/>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Nine Months Ended September 30,</w:t>
            </w:r>
          </w:p>
        </w:tc>
      </w:tr>
      <w:tr>
        <w:trPr>
          <w:trHeight w:val="206"/>
        </w:trPr>
        <w:tc>
          <w:tcPr>
            <w:tcW w:w="43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210,385</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130,447</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544,238</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392,055</w:t>
            </w:r>
          </w:p>
        </w:tc>
      </w:tr>
      <w:tr>
        <w:trPr>
          <w:trHeight w:val="205"/>
        </w:trPr>
        <w:tc>
          <w:tcPr>
            <w:tcW w:w="436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(135,076)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(60,374)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(360,465)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(178,191)</w:t>
            </w:r>
          </w:p>
        </w:tc>
      </w:tr>
      <w:tr>
        <w:trPr>
          <w:trHeight w:val="207"/>
        </w:trPr>
        <w:tc>
          <w:tcPr>
            <w:tcW w:w="4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24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17,183</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11,597</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52,263</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42,034</w:t>
            </w:r>
          </w:p>
        </w:tc>
      </w:tr>
      <w:tr>
        <w:trPr>
          <w:trHeight w:val="205"/>
        </w:trPr>
        <w:tc>
          <w:tcPr>
            <w:tcW w:w="4360" w:type="dxa"/>
            <w:vAlign w:val="bottom"/>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(3,386)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(30,253)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(20,836)</w:t>
            </w:r>
          </w:p>
        </w:tc>
      </w:tr>
      <w:tr>
        <w:trPr>
          <w:trHeight w:val="206"/>
        </w:trPr>
        <w:tc>
          <w:tcPr>
            <w:tcW w:w="4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the sale of property, plant and equipment</w:t>
            </w:r>
          </w:p>
        </w:tc>
        <w:tc>
          <w:tcPr>
            <w:tcW w:w="24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894</w:t>
            </w:r>
          </w:p>
        </w:tc>
        <w:tc>
          <w:tcPr>
            <w:tcW w:w="8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209</w:t>
            </w:r>
          </w:p>
        </w:tc>
        <w:tc>
          <w:tcPr>
            <w:tcW w:w="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1,645</w:t>
            </w:r>
          </w:p>
        </w:tc>
        <w:tc>
          <w:tcPr>
            <w:tcW w:w="8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16,647</w:t>
            </w:r>
          </w:p>
        </w:tc>
      </w:tr>
      <w:tr>
        <w:trPr>
          <w:trHeight w:val="200"/>
        </w:trPr>
        <w:tc>
          <w:tcPr>
            <w:tcW w:w="436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83,386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78,493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207,428</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251,709</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Cash flow from operations increased by $152.2 million or 38.8% for the nine months ended September 30, 2022 as compared to the nine months ended September 30, 2021. Cash used in investing activities excluding acquisitions and sale of discontinued operations increased by $196.4 million to support unit on rent and VAPS growth with leasing revenues up 27.0% year-over-year. Cash flow from operations increased by $79.8 million, or 61.1% for the three months ended September 30, 2022 as compared to the three months ended September 30, 2021. This increase was supported by the 30.6% increase in leasing revenue year-over-year. Free cash flow of $207.4 million for the nine months ended September 30, 2022 was down $44.3 million as compared to the nine months ended September 30, 2021 which is consistent with the counter cyclicality of free cash flow in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cash requirements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w:t>
      </w:r>
    </w:p>
    <w:p>
      <w:pPr>
        <w:spacing w:after="0" w:line="74"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and finance leases, totaling $3.0 billion as of September 30, 2022, $13.5 million of which is obligated to be repaid within the next twelve months. Refer to Note 10 for further information regarding outstanding debt.</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leases</w:t>
      </w:r>
    </w:p>
    <w:p>
      <w:pPr>
        <w:spacing w:after="0" w:line="62"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equipment and office space. As of September 30, 2022, the Company had lease obligations of $264.7 million, with $60.0 million payable within the next twelve months.</w:t>
      </w:r>
    </w:p>
    <w:p>
      <w:pPr>
        <w:spacing w:after="0" w:line="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addition to the aforementioned cash requirements, the Company has a Share Repurchase Program authorized by the Board of Directors which allows the Company to repurchase up to $1.0 billion of outstanding shares of Common Stock and equivalents. This program does not obligate the Company to repurchase any specific amount of shares.</w:t>
      </w:r>
    </w:p>
    <w:p>
      <w:pPr>
        <w:jc w:val="both"/>
        <w:ind w:firstLine="619"/>
        <w:spacing w:after="0" w:line="294" w:lineRule="auto"/>
        <w:rPr>
          <w:sz w:val="20"/>
          <w:szCs w:val="20"/>
          <w:color w:val="auto"/>
        </w:rPr>
      </w:pPr>
      <w:r>
        <w:rPr>
          <w:rFonts w:ascii="Arial" w:cs="Arial" w:eastAsia="Arial" w:hAnsi="Arial"/>
          <w:sz w:val="15"/>
          <w:szCs w:val="15"/>
          <w:color w:val="auto"/>
        </w:rPr>
        <w:t>The Company believes its cash, cash flows generated from ongoing operations, continued access to its revolving credit facility, as well as access to debt markets, are sufficient to satisfy its currently anticipated cash requirements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Policies and Estimates</w:t>
      </w:r>
    </w:p>
    <w:p>
      <w:pPr>
        <w:spacing w:after="0" w:line="12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2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year ended December 31, 2021 (the "2021 Annual Report on Form 10-K").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significant changes to our critical accounting policies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1D2758"/>
        </w:rPr>
        <w:t>Recently Issued Accounting Standards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Refer to Part I, Item 1, Note 1 of the notes to our financial statements included in this Quarterly Report on Form 10-Q for our assessment of recently issued accounting standards.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6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spacing w:after="0" w:line="10"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72"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72"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impact of public health crises, such as the global pandemic related to COVID-19, including the financial condition of the Company’s customers and suppliers and employee health and safety;</w:t>
      </w:r>
    </w:p>
    <w:p>
      <w:pPr>
        <w:ind w:left="620" w:hanging="307"/>
        <w:spacing w:after="0" w:line="295" w:lineRule="auto"/>
        <w:tabs>
          <w:tab w:leader="none" w:pos="609" w:val="left"/>
        </w:tabs>
        <w:numPr>
          <w:ilvl w:val="0"/>
          <w:numId w:val="16"/>
        </w:numPr>
        <w:rPr>
          <w:rFonts w:ascii="Arial" w:cs="Arial" w:eastAsia="Arial" w:hAnsi="Arial"/>
          <w:sz w:val="15"/>
          <w:szCs w:val="15"/>
          <w:color w:val="auto"/>
        </w:rPr>
      </w:pPr>
      <w:r>
        <w:rPr>
          <w:rFonts w:ascii="Arial" w:cs="Arial" w:eastAsia="Arial" w:hAnsi="Arial"/>
          <w:sz w:val="15"/>
          <w:szCs w:val="15"/>
          <w:color w:val="auto"/>
        </w:rPr>
        <w:t>risks associated with cybersecurity and IT systems disruptions, including our ability to manage the business in the event a disaster shuts down our management information systems;</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fluctuations in fuel costs or oil prices, a reduction in fuel supplies, or a sustained decline in oil prices;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various laws and regulations, including those governing government contracts, corruption and the environment;</w:t>
      </w:r>
    </w:p>
    <w:p>
      <w:pPr>
        <w:spacing w:after="0" w:line="59"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evolving public disclosure, financial reporting and corporate governance expectations;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50" w:name="page51"/>
    <w:bookmarkEnd w:id="50"/>
    <w:p>
      <w:pPr>
        <w:ind w:left="620" w:hanging="30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service our debt and operate our business;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incur significant additional amounts of debt, which could further exacerbate the risks associated with our substantial indebtedness;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uncertainty regarding the phase-out of LIBOR;</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stock price volatility; and</w:t>
      </w:r>
    </w:p>
    <w:p>
      <w:pPr>
        <w:spacing w:after="0" w:line="59"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2021 Annual Report on Form 10-K), which are available through the SEC’s EDGAR system at www.sec.gov and on our website.</w:t>
      </w:r>
    </w:p>
    <w:p>
      <w:pPr>
        <w:spacing w:after="0" w:line="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Any forward-looking statement speaks only at the date which it is made, and we undertake no obligation, and disclaims any obligation, to update or revise any forward-looking statements, whether as a result of new information, future events or otherwise, except as required by law.</w:t>
      </w:r>
    </w:p>
    <w:p>
      <w:pPr>
        <w:spacing w:after="0" w:line="150" w:lineRule="exact"/>
        <w:rPr>
          <w:sz w:val="20"/>
          <w:szCs w:val="20"/>
          <w:color w:val="auto"/>
        </w:rPr>
      </w:pPr>
    </w:p>
    <w:p>
      <w:pPr>
        <w:ind w:left="1740" w:right="110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3.</w:t>
        <w:tab/>
        <w:t>Quantitative and Qualitative Disclosures about Market Risk</w:t>
      </w:r>
    </w:p>
    <w:p>
      <w:pPr>
        <w:jc w:val="both"/>
        <w:ind w:firstLine="619"/>
        <w:spacing w:after="0" w:line="312"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$1.9 billion in outstanding principal under the ABL Facility at September 30, 2022. An increase in interest rates by 100 basis points on our ABL Facility would increase our quarter to date interest expense by approximately $5.3 million based on current outstanding borrowings.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currently generate the majority of our consolidated net revenues in the US, and the reporting currency for our consolidated financial statements is the US dollar. However, we are exposed to currency risk principally through our operations in Canada, Mexico, and the United Kingdom.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2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 To date, we have not entered into any hedging arrangements with respect to foreign currency risk.</w:t>
      </w:r>
    </w:p>
    <w:p>
      <w:pPr>
        <w:spacing w:after="0" w:line="284"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September 30, 2022. Based upon that evaluation, our Chief Executive Officer and Chief Financial Officer concluded that our disclosure controls and procedures were effective as of September 30, 2022.</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12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There were no changes in our internal control over financial reporting that occurred during our quarter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51" w:name="page52"/>
    <w:bookmarkEnd w:id="51"/>
    <w:p>
      <w:pPr>
        <w:ind w:left="4960"/>
        <w:spacing w:after="0"/>
        <w:rPr>
          <w:sz w:val="20"/>
          <w:szCs w:val="20"/>
          <w:color w:val="auto"/>
        </w:rPr>
      </w:pPr>
      <w:r>
        <w:rPr>
          <w:rFonts w:ascii="Arial" w:cs="Arial" w:eastAsia="Arial" w:hAnsi="Arial"/>
          <w:sz w:val="38"/>
          <w:szCs w:val="38"/>
          <w:b w:val="1"/>
          <w:bCs w:val="1"/>
          <w:color w:val="1D2758"/>
        </w:rPr>
        <w:t>PART II</w:t>
      </w:r>
    </w:p>
    <w:p>
      <w:pPr>
        <w:spacing w:after="0" w:line="200" w:lineRule="exact"/>
        <w:rPr>
          <w:sz w:val="20"/>
          <w:szCs w:val="20"/>
          <w:color w:val="auto"/>
        </w:rPr>
      </w:pPr>
    </w:p>
    <w:p>
      <w:pPr>
        <w:spacing w:after="0" w:line="22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8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September 30, 2022,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384"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2021 Annual Report on Form 10-K, which have not materially changed.</w:t>
      </w:r>
    </w:p>
    <w:p>
      <w:pPr>
        <w:spacing w:after="0" w:line="281"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2.</w:t>
      </w:r>
      <w:r>
        <w:rPr>
          <w:sz w:val="20"/>
          <w:szCs w:val="20"/>
          <w:color w:val="auto"/>
        </w:rPr>
        <w:tab/>
      </w:r>
      <w:r>
        <w:rPr>
          <w:rFonts w:ascii="Arial" w:cs="Arial" w:eastAsia="Arial" w:hAnsi="Arial"/>
          <w:sz w:val="37"/>
          <w:szCs w:val="37"/>
          <w:b w:val="1"/>
          <w:bCs w:val="1"/>
          <w:color w:val="auto"/>
        </w:rPr>
        <w:t>Unregistered Sales of Equity Securities</w:t>
      </w:r>
    </w:p>
    <w:p>
      <w:pPr>
        <w:spacing w:after="0" w:line="83" w:lineRule="exact"/>
        <w:rPr>
          <w:sz w:val="20"/>
          <w:szCs w:val="20"/>
          <w:color w:val="auto"/>
        </w:rPr>
      </w:pPr>
    </w:p>
    <w:p>
      <w:pPr>
        <w:jc w:val="both"/>
        <w:ind w:firstLine="619"/>
        <w:spacing w:after="0" w:line="298" w:lineRule="auto"/>
        <w:rPr>
          <w:sz w:val="20"/>
          <w:szCs w:val="20"/>
          <w:color w:val="auto"/>
        </w:rPr>
      </w:pPr>
      <w:r>
        <w:rPr>
          <w:rFonts w:ascii="Arial" w:cs="Arial" w:eastAsia="Arial" w:hAnsi="Arial"/>
          <w:sz w:val="15"/>
          <w:szCs w:val="15"/>
          <w:color w:val="auto"/>
        </w:rPr>
        <w:t>The following table summarizes our purchase of Common Stock during the third quarter of 2022. No stock equivalents were purchased by the Company during the third quarter of 2022.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shd w:val="clear" w:color="auto" w:fill="1D2758"/>
          </w:tcPr>
          <w:p>
            <w:pPr>
              <w:spacing w:after="0"/>
              <w:rPr>
                <w:sz w:val="14"/>
                <w:szCs w:val="14"/>
                <w:color w:val="auto"/>
              </w:rPr>
            </w:pPr>
          </w:p>
        </w:tc>
        <w:tc>
          <w:tcPr>
            <w:tcW w:w="212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020" w:type="dxa"/>
            <w:vAlign w:val="bottom"/>
            <w:shd w:val="clear" w:color="auto" w:fill="1D2758"/>
          </w:tcPr>
          <w:p>
            <w:pPr>
              <w:spacing w:after="0"/>
              <w:rPr>
                <w:sz w:val="14"/>
                <w:szCs w:val="14"/>
                <w:color w:val="auto"/>
              </w:rPr>
            </w:pPr>
          </w:p>
        </w:tc>
        <w:tc>
          <w:tcPr>
            <w:tcW w:w="2140" w:type="dxa"/>
            <w:vAlign w:val="bottom"/>
            <w:shd w:val="clear" w:color="auto" w:fill="1D2758"/>
          </w:tcPr>
          <w:p>
            <w:pPr>
              <w:spacing w:after="0"/>
              <w:rPr>
                <w:sz w:val="14"/>
                <w:szCs w:val="14"/>
                <w:color w:val="auto"/>
              </w:rPr>
            </w:pPr>
          </w:p>
        </w:tc>
        <w:tc>
          <w:tcPr>
            <w:tcW w:w="182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Maximum Dollar Value</w:t>
            </w:r>
          </w:p>
        </w:tc>
        <w:tc>
          <w:tcPr>
            <w:tcW w:w="0" w:type="dxa"/>
            <w:vAlign w:val="bottom"/>
          </w:tcPr>
          <w:p>
            <w:pPr>
              <w:spacing w:after="0"/>
              <w:rPr>
                <w:sz w:val="1"/>
                <w:szCs w:val="1"/>
                <w:color w:val="auto"/>
              </w:rPr>
            </w:pPr>
          </w:p>
        </w:tc>
      </w:tr>
      <w:tr>
        <w:trPr>
          <w:trHeight w:val="155"/>
        </w:trPr>
        <w:tc>
          <w:tcPr>
            <w:tcW w:w="3960" w:type="dxa"/>
            <w:vAlign w:val="bottom"/>
            <w:shd w:val="clear" w:color="auto" w:fill="1D2758"/>
          </w:tcPr>
          <w:p>
            <w:pPr>
              <w:spacing w:after="0"/>
              <w:rPr>
                <w:sz w:val="13"/>
                <w:szCs w:val="13"/>
                <w:color w:val="auto"/>
              </w:rPr>
            </w:pPr>
          </w:p>
        </w:tc>
        <w:tc>
          <w:tcPr>
            <w:tcW w:w="2120" w:type="dxa"/>
            <w:vAlign w:val="bottom"/>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020" w:type="dxa"/>
            <w:vAlign w:val="bottom"/>
            <w:shd w:val="clear" w:color="auto" w:fill="1D2758"/>
          </w:tcPr>
          <w:p>
            <w:pPr>
              <w:spacing w:after="0"/>
              <w:rPr>
                <w:sz w:val="13"/>
                <w:szCs w:val="13"/>
                <w:color w:val="auto"/>
              </w:rPr>
            </w:pPr>
          </w:p>
        </w:tc>
        <w:tc>
          <w:tcPr>
            <w:tcW w:w="214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of Shares and</w:t>
            </w:r>
          </w:p>
        </w:tc>
        <w:tc>
          <w:tcPr>
            <w:tcW w:w="0" w:type="dxa"/>
            <w:vAlign w:val="bottom"/>
          </w:tcPr>
          <w:p>
            <w:pPr>
              <w:spacing w:after="0"/>
              <w:rPr>
                <w:sz w:val="1"/>
                <w:szCs w:val="1"/>
                <w:color w:val="auto"/>
              </w:rPr>
            </w:pPr>
          </w:p>
        </w:tc>
      </w:tr>
      <w:tr>
        <w:trPr>
          <w:trHeight w:val="155"/>
        </w:trPr>
        <w:tc>
          <w:tcPr>
            <w:tcW w:w="3960" w:type="dxa"/>
            <w:vAlign w:val="bottom"/>
            <w:shd w:val="clear" w:color="auto" w:fill="1D2758"/>
          </w:tcPr>
          <w:p>
            <w:pPr>
              <w:spacing w:after="0"/>
              <w:rPr>
                <w:sz w:val="13"/>
                <w:szCs w:val="13"/>
                <w:color w:val="auto"/>
              </w:rPr>
            </w:pPr>
          </w:p>
        </w:tc>
        <w:tc>
          <w:tcPr>
            <w:tcW w:w="212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1200" w:type="dxa"/>
            <w:vAlign w:val="bottom"/>
            <w:gridSpan w:val="2"/>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Average Price</w:t>
            </w:r>
          </w:p>
        </w:tc>
        <w:tc>
          <w:tcPr>
            <w:tcW w:w="2140" w:type="dxa"/>
            <w:vAlign w:val="bottom"/>
            <w:vMerge w:val="continue"/>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Equivalents that May</w:t>
            </w:r>
          </w:p>
        </w:tc>
        <w:tc>
          <w:tcPr>
            <w:tcW w:w="0" w:type="dxa"/>
            <w:vAlign w:val="bottom"/>
          </w:tcPr>
          <w:p>
            <w:pPr>
              <w:spacing w:after="0"/>
              <w:rPr>
                <w:sz w:val="1"/>
                <w:szCs w:val="1"/>
                <w:color w:val="auto"/>
              </w:rPr>
            </w:pPr>
          </w:p>
        </w:tc>
      </w:tr>
      <w:tr>
        <w:trPr>
          <w:trHeight w:val="155"/>
        </w:trPr>
        <w:tc>
          <w:tcPr>
            <w:tcW w:w="3960" w:type="dxa"/>
            <w:vAlign w:val="bottom"/>
            <w:shd w:val="clear" w:color="auto" w:fill="1D2758"/>
          </w:tcPr>
          <w:p>
            <w:pPr>
              <w:spacing w:after="0"/>
              <w:rPr>
                <w:sz w:val="13"/>
                <w:szCs w:val="13"/>
                <w:color w:val="auto"/>
              </w:rPr>
            </w:pPr>
          </w:p>
        </w:tc>
        <w:tc>
          <w:tcPr>
            <w:tcW w:w="2120" w:type="dxa"/>
            <w:vAlign w:val="bottom"/>
            <w:vMerge w:val="continue"/>
            <w:shd w:val="clear" w:color="auto" w:fill="1D2758"/>
          </w:tcPr>
          <w:p>
            <w:pPr>
              <w:spacing w:after="0"/>
              <w:rPr>
                <w:sz w:val="13"/>
                <w:szCs w:val="13"/>
                <w:color w:val="auto"/>
              </w:rPr>
            </w:pPr>
          </w:p>
        </w:tc>
        <w:tc>
          <w:tcPr>
            <w:tcW w:w="1200" w:type="dxa"/>
            <w:vAlign w:val="bottom"/>
            <w:gridSpan w:val="2"/>
            <w:vMerge w:val="continue"/>
            <w:shd w:val="clear" w:color="auto" w:fill="1D2758"/>
          </w:tcPr>
          <w:p>
            <w:pPr>
              <w:spacing w:after="0"/>
              <w:rPr>
                <w:sz w:val="13"/>
                <w:szCs w:val="13"/>
                <w:color w:val="auto"/>
              </w:rPr>
            </w:pPr>
          </w:p>
        </w:tc>
        <w:tc>
          <w:tcPr>
            <w:tcW w:w="214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as</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Yet Be Purchased</w:t>
            </w:r>
          </w:p>
        </w:tc>
        <w:tc>
          <w:tcPr>
            <w:tcW w:w="0" w:type="dxa"/>
            <w:vAlign w:val="bottom"/>
          </w:tcPr>
          <w:p>
            <w:pPr>
              <w:spacing w:after="0"/>
              <w:rPr>
                <w:sz w:val="1"/>
                <w:szCs w:val="1"/>
                <w:color w:val="auto"/>
              </w:rPr>
            </w:pPr>
          </w:p>
        </w:tc>
      </w:tr>
      <w:tr>
        <w:trPr>
          <w:trHeight w:val="155"/>
        </w:trPr>
        <w:tc>
          <w:tcPr>
            <w:tcW w:w="3960" w:type="dxa"/>
            <w:vAlign w:val="bottom"/>
            <w:vMerge w:val="restart"/>
            <w:shd w:val="clear" w:color="auto" w:fill="1D2758"/>
          </w:tcPr>
          <w:p>
            <w:pPr>
              <w:ind w:left="1740"/>
              <w:spacing w:after="0"/>
              <w:rPr>
                <w:sz w:val="20"/>
                <w:szCs w:val="20"/>
                <w:color w:val="auto"/>
              </w:rPr>
            </w:pPr>
            <w:r>
              <w:rPr>
                <w:rFonts w:ascii="Arial" w:cs="Arial" w:eastAsia="Arial" w:hAnsi="Arial"/>
                <w:sz w:val="15"/>
                <w:szCs w:val="15"/>
                <w:b w:val="1"/>
                <w:bCs w:val="1"/>
                <w:color w:val="FFFFFF"/>
              </w:rPr>
              <w:t>Period</w:t>
            </w:r>
          </w:p>
        </w:tc>
        <w:tc>
          <w:tcPr>
            <w:tcW w:w="212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(in</w:t>
            </w:r>
          </w:p>
        </w:tc>
        <w:tc>
          <w:tcPr>
            <w:tcW w:w="180" w:type="dxa"/>
            <w:vAlign w:val="bottom"/>
            <w:shd w:val="clear" w:color="auto" w:fill="1D2758"/>
          </w:tcPr>
          <w:p>
            <w:pPr>
              <w:spacing w:after="0"/>
              <w:rPr>
                <w:sz w:val="13"/>
                <w:szCs w:val="13"/>
                <w:color w:val="auto"/>
              </w:rPr>
            </w:pPr>
          </w:p>
        </w:tc>
        <w:tc>
          <w:tcPr>
            <w:tcW w:w="102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Paid</w:t>
            </w:r>
          </w:p>
        </w:tc>
        <w:tc>
          <w:tcPr>
            <w:tcW w:w="214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part of Publicly Announced</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Under the Plans (in</w:t>
            </w:r>
          </w:p>
        </w:tc>
        <w:tc>
          <w:tcPr>
            <w:tcW w:w="0" w:type="dxa"/>
            <w:vAlign w:val="bottom"/>
          </w:tcPr>
          <w:p>
            <w:pPr>
              <w:spacing w:after="0"/>
              <w:rPr>
                <w:sz w:val="1"/>
                <w:szCs w:val="1"/>
                <w:color w:val="auto"/>
              </w:rPr>
            </w:pPr>
          </w:p>
        </w:tc>
      </w:tr>
      <w:tr>
        <w:trPr>
          <w:trHeight w:val="122"/>
        </w:trPr>
        <w:tc>
          <w:tcPr>
            <w:tcW w:w="3960" w:type="dxa"/>
            <w:vAlign w:val="bottom"/>
            <w:vMerge w:val="continue"/>
            <w:shd w:val="clear" w:color="auto" w:fill="1D2758"/>
          </w:tcPr>
          <w:p>
            <w:pPr>
              <w:spacing w:after="0"/>
              <w:rPr>
                <w:sz w:val="10"/>
                <w:szCs w:val="10"/>
                <w:color w:val="auto"/>
              </w:rPr>
            </w:pPr>
          </w:p>
        </w:tc>
        <w:tc>
          <w:tcPr>
            <w:tcW w:w="212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180" w:type="dxa"/>
            <w:vAlign w:val="bottom"/>
            <w:shd w:val="clear" w:color="auto" w:fill="1D2758"/>
          </w:tcPr>
          <w:p>
            <w:pPr>
              <w:spacing w:after="0"/>
              <w:rPr>
                <w:sz w:val="10"/>
                <w:szCs w:val="10"/>
                <w:color w:val="auto"/>
              </w:rPr>
            </w:pPr>
          </w:p>
        </w:tc>
        <w:tc>
          <w:tcPr>
            <w:tcW w:w="1020" w:type="dxa"/>
            <w:vAlign w:val="bottom"/>
            <w:vMerge w:val="restart"/>
            <w:shd w:val="clear" w:color="auto" w:fill="1D2758"/>
          </w:tcPr>
          <w:p>
            <w:pPr>
              <w:jc w:val="center"/>
              <w:ind w:right="83"/>
              <w:spacing w:after="0"/>
              <w:rPr>
                <w:sz w:val="20"/>
                <w:szCs w:val="20"/>
                <w:color w:val="auto"/>
              </w:rPr>
            </w:pPr>
            <w:r>
              <w:rPr>
                <w:rFonts w:ascii="Arial" w:cs="Arial" w:eastAsia="Arial" w:hAnsi="Arial"/>
                <w:sz w:val="15"/>
                <w:szCs w:val="15"/>
                <w:b w:val="1"/>
                <w:bCs w:val="1"/>
                <w:color w:val="FFFFFF"/>
              </w:rPr>
              <w:t>per Share</w:t>
            </w:r>
          </w:p>
        </w:tc>
        <w:tc>
          <w:tcPr>
            <w:tcW w:w="214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120" w:type="dxa"/>
            <w:vAlign w:val="bottom"/>
            <w:shd w:val="clear" w:color="auto" w:fill="1D2758"/>
          </w:tcPr>
          <w:p>
            <w:pPr>
              <w:spacing w:after="0"/>
              <w:rPr>
                <w:sz w:val="10"/>
                <w:szCs w:val="10"/>
                <w:color w:val="auto"/>
              </w:rPr>
            </w:pPr>
          </w:p>
        </w:tc>
        <w:tc>
          <w:tcPr>
            <w:tcW w:w="1700" w:type="dxa"/>
            <w:vAlign w:val="bottom"/>
            <w:vMerge w:val="restart"/>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millions)</w:t>
            </w:r>
          </w:p>
        </w:tc>
        <w:tc>
          <w:tcPr>
            <w:tcW w:w="0" w:type="dxa"/>
            <w:vAlign w:val="bottom"/>
          </w:tcPr>
          <w:p>
            <w:pPr>
              <w:spacing w:after="0"/>
              <w:rPr>
                <w:sz w:val="1"/>
                <w:szCs w:val="1"/>
                <w:color w:val="auto"/>
              </w:rPr>
            </w:pPr>
          </w:p>
        </w:tc>
      </w:tr>
      <w:tr>
        <w:trPr>
          <w:trHeight w:val="84"/>
        </w:trPr>
        <w:tc>
          <w:tcPr>
            <w:tcW w:w="3960" w:type="dxa"/>
            <w:vAlign w:val="bottom"/>
            <w:shd w:val="clear" w:color="auto" w:fill="1D2758"/>
          </w:tcPr>
          <w:p>
            <w:pPr>
              <w:spacing w:after="0"/>
              <w:rPr>
                <w:sz w:val="7"/>
                <w:szCs w:val="7"/>
                <w:color w:val="auto"/>
              </w:rPr>
            </w:pPr>
          </w:p>
        </w:tc>
        <w:tc>
          <w:tcPr>
            <w:tcW w:w="2120" w:type="dxa"/>
            <w:vAlign w:val="bottom"/>
            <w:vMerge w:val="continue"/>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020" w:type="dxa"/>
            <w:vAlign w:val="bottom"/>
            <w:vMerge w:val="continue"/>
            <w:shd w:val="clear" w:color="auto" w:fill="1D2758"/>
          </w:tcPr>
          <w:p>
            <w:pPr>
              <w:spacing w:after="0"/>
              <w:rPr>
                <w:sz w:val="7"/>
                <w:szCs w:val="7"/>
                <w:color w:val="auto"/>
              </w:rPr>
            </w:pPr>
          </w:p>
        </w:tc>
        <w:tc>
          <w:tcPr>
            <w:tcW w:w="2140" w:type="dxa"/>
            <w:vAlign w:val="bottom"/>
            <w:vMerge w:val="continue"/>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17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July 1, 2022 to July 31, 2022</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2,481.7</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33.45</w:t>
            </w:r>
          </w:p>
        </w:tc>
        <w:tc>
          <w:tcPr>
            <w:tcW w:w="2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2,481.7</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977.7</w:t>
            </w:r>
          </w:p>
        </w:tc>
        <w:tc>
          <w:tcPr>
            <w:tcW w:w="0" w:type="dxa"/>
            <w:vAlign w:val="bottom"/>
          </w:tcPr>
          <w:p>
            <w:pPr>
              <w:spacing w:after="0"/>
              <w:rPr>
                <w:sz w:val="1"/>
                <w:szCs w:val="1"/>
                <w:color w:val="auto"/>
              </w:rPr>
            </w:pPr>
          </w:p>
        </w:tc>
      </w:tr>
      <w:tr>
        <w:trPr>
          <w:trHeight w:val="205"/>
        </w:trPr>
        <w:tc>
          <w:tcPr>
            <w:tcW w:w="3960" w:type="dxa"/>
            <w:vAlign w:val="bottom"/>
          </w:tcPr>
          <w:p>
            <w:pPr>
              <w:ind w:left="20"/>
              <w:spacing w:after="0"/>
              <w:rPr>
                <w:sz w:val="20"/>
                <w:szCs w:val="20"/>
                <w:color w:val="auto"/>
              </w:rPr>
            </w:pPr>
            <w:r>
              <w:rPr>
                <w:rFonts w:ascii="Arial" w:cs="Arial" w:eastAsia="Arial" w:hAnsi="Arial"/>
                <w:sz w:val="15"/>
                <w:szCs w:val="15"/>
                <w:color w:val="auto"/>
              </w:rPr>
              <w:t>August 1, 2022 to August 31, 2022</w:t>
            </w:r>
          </w:p>
        </w:tc>
        <w:tc>
          <w:tcPr>
            <w:tcW w:w="2120" w:type="dxa"/>
            <w:vAlign w:val="bottom"/>
          </w:tcPr>
          <w:p>
            <w:pPr>
              <w:jc w:val="right"/>
              <w:spacing w:after="0"/>
              <w:rPr>
                <w:sz w:val="20"/>
                <w:szCs w:val="20"/>
                <w:color w:val="auto"/>
              </w:rPr>
            </w:pPr>
            <w:r>
              <w:rPr>
                <w:rFonts w:ascii="Arial" w:cs="Arial" w:eastAsia="Arial" w:hAnsi="Arial"/>
                <w:sz w:val="15"/>
                <w:szCs w:val="15"/>
                <w:color w:val="auto"/>
              </w:rPr>
              <w:t>1,025.4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41.36</w:t>
            </w:r>
          </w:p>
        </w:tc>
        <w:tc>
          <w:tcPr>
            <w:tcW w:w="2140" w:type="dxa"/>
            <w:vAlign w:val="bottom"/>
          </w:tcPr>
          <w:p>
            <w:pPr>
              <w:jc w:val="right"/>
              <w:spacing w:after="0"/>
              <w:rPr>
                <w:sz w:val="20"/>
                <w:szCs w:val="20"/>
                <w:color w:val="auto"/>
              </w:rPr>
            </w:pPr>
            <w:r>
              <w:rPr>
                <w:rFonts w:ascii="Arial" w:cs="Arial" w:eastAsia="Arial" w:hAnsi="Arial"/>
                <w:sz w:val="15"/>
                <w:szCs w:val="15"/>
                <w:color w:val="auto"/>
              </w:rPr>
              <w:t>1,025.4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935.3</w:t>
            </w:r>
          </w:p>
        </w:tc>
        <w:tc>
          <w:tcPr>
            <w:tcW w:w="0" w:type="dxa"/>
            <w:vAlign w:val="bottom"/>
          </w:tcPr>
          <w:p>
            <w:pPr>
              <w:spacing w:after="0"/>
              <w:rPr>
                <w:sz w:val="1"/>
                <w:szCs w:val="1"/>
                <w:color w:val="auto"/>
              </w:rPr>
            </w:pPr>
          </w:p>
        </w:tc>
      </w:tr>
      <w:tr>
        <w:trPr>
          <w:trHeight w:val="206"/>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September 1, 2022 to September 30, 2022</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1,763.4</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40.79</w:t>
            </w: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1,763.4</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863.3</w:t>
            </w:r>
          </w:p>
        </w:tc>
        <w:tc>
          <w:tcPr>
            <w:tcW w:w="0" w:type="dxa"/>
            <w:vAlign w:val="bottom"/>
          </w:tcPr>
          <w:p>
            <w:pPr>
              <w:spacing w:after="0"/>
              <w:rPr>
                <w:sz w:val="1"/>
                <w:szCs w:val="1"/>
                <w:color w:val="auto"/>
              </w:rPr>
            </w:pPr>
          </w:p>
        </w:tc>
      </w:tr>
      <w:tr>
        <w:trPr>
          <w:trHeight w:val="200"/>
        </w:trPr>
        <w:tc>
          <w:tcPr>
            <w:tcW w:w="3960" w:type="dxa"/>
            <w:vAlign w:val="bottom"/>
          </w:tcPr>
          <w:p>
            <w:pPr>
              <w:ind w:left="220"/>
              <w:spacing w:after="0"/>
              <w:rPr>
                <w:sz w:val="20"/>
                <w:szCs w:val="20"/>
                <w:color w:val="auto"/>
              </w:rPr>
            </w:pPr>
            <w:r>
              <w:rPr>
                <w:rFonts w:ascii="Arial" w:cs="Arial" w:eastAsia="Arial" w:hAnsi="Arial"/>
                <w:sz w:val="15"/>
                <w:szCs w:val="15"/>
                <w:color w:val="auto"/>
              </w:rPr>
              <w:t>Total</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5,270.5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37.44</w:t>
            </w:r>
          </w:p>
        </w:tc>
        <w:tc>
          <w:tcPr>
            <w:tcW w:w="2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5,270.5</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 share repurchase program authorizes the Company to repurchase its outstanding shares of Common Stock and equivalents. As of September 30, 2022, $863.3 million of the $1.0 billion share repurchase authorization remained available for use.</w:t>
      </w:r>
    </w:p>
    <w:p>
      <w:pPr>
        <w:spacing w:after="0" w:line="163"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33"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52" w:name="page53"/>
    <w:bookmarkEnd w:id="52"/>
    <w:p>
      <w:pPr>
        <w:spacing w:after="0"/>
        <w:tabs>
          <w:tab w:leader="none" w:pos="1720" w:val="left"/>
        </w:tabs>
        <w:rPr>
          <w:sz w:val="20"/>
          <w:szCs w:val="20"/>
          <w:color w:val="auto"/>
        </w:rPr>
      </w:pPr>
      <w:r>
        <w:rPr>
          <w:rFonts w:ascii="Arial" w:cs="Arial" w:eastAsia="Arial" w:hAnsi="Arial"/>
          <w:sz w:val="38"/>
          <w:szCs w:val="38"/>
          <w:b w:val="1"/>
          <w:bCs w:val="1"/>
          <w:color w:val="auto"/>
        </w:rPr>
        <w:t>ITEM 5.</w:t>
      </w:r>
      <w:r>
        <w:rPr>
          <w:sz w:val="20"/>
          <w:szCs w:val="20"/>
          <w:color w:val="auto"/>
        </w:rPr>
        <w:tab/>
      </w:r>
      <w:r>
        <w:rPr>
          <w:rFonts w:ascii="Arial" w:cs="Arial" w:eastAsia="Arial" w:hAnsi="Arial"/>
          <w:sz w:val="37"/>
          <w:szCs w:val="37"/>
          <w:b w:val="1"/>
          <w:bCs w:val="1"/>
          <w:color w:val="auto"/>
        </w:rPr>
        <w:t>Other Information</w:t>
      </w:r>
    </w:p>
    <w:p>
      <w:pPr>
        <w:spacing w:after="0" w:line="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A proposal to be included in our proxy statement pursuant to Rule 14a-8 under the Exchange Act must be received at the office of the Corporate Secretary on or before December 23, 2022 (rather than February 3, 2023 as indicated in the proxy statement for our 2022 annual meeting of stockholders). Notice of a proposal submitted pursuant to Rule 14a-8 must also comply with requirements set forth in Rule 14a-8.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497"/>
        </w:trPr>
        <w:tc>
          <w:tcPr>
            <w:tcW w:w="1540" w:type="dxa"/>
            <w:vAlign w:val="bottom"/>
            <w:gridSpan w:val="3"/>
          </w:tcPr>
          <w:p>
            <w:pPr>
              <w:spacing w:after="0"/>
              <w:rPr>
                <w:sz w:val="20"/>
                <w:szCs w:val="20"/>
                <w:color w:val="auto"/>
              </w:rPr>
            </w:pPr>
            <w:r>
              <w:rPr>
                <w:rFonts w:ascii="Arial" w:cs="Arial" w:eastAsia="Arial" w:hAnsi="Arial"/>
                <w:sz w:val="38"/>
                <w:szCs w:val="38"/>
                <w:b w:val="1"/>
                <w:bCs w:val="1"/>
                <w:color w:val="auto"/>
              </w:rPr>
              <w:t>ITEM 6.</w:t>
            </w:r>
          </w:p>
        </w:tc>
        <w:tc>
          <w:tcPr>
            <w:tcW w:w="9640" w:type="dxa"/>
            <w:vAlign w:val="bottom"/>
          </w:tcPr>
          <w:p>
            <w:pPr>
              <w:ind w:left="200"/>
              <w:spacing w:after="0"/>
              <w:rPr>
                <w:sz w:val="20"/>
                <w:szCs w:val="20"/>
                <w:color w:val="auto"/>
              </w:rPr>
            </w:pPr>
            <w:r>
              <w:rPr>
                <w:rFonts w:ascii="Arial" w:cs="Arial" w:eastAsia="Arial" w:hAnsi="Arial"/>
                <w:sz w:val="38"/>
                <w:szCs w:val="38"/>
                <w:b w:val="1"/>
                <w:bCs w:val="1"/>
                <w:color w:val="auto"/>
              </w:rPr>
              <w:t>Exhibits</w:t>
            </w:r>
          </w:p>
        </w:tc>
        <w:tc>
          <w:tcPr>
            <w:tcW w:w="0" w:type="dxa"/>
            <w:vAlign w:val="bottom"/>
          </w:tcPr>
          <w:p>
            <w:pPr>
              <w:spacing w:after="0"/>
              <w:rPr>
                <w:sz w:val="1"/>
                <w:szCs w:val="1"/>
                <w:color w:val="auto"/>
              </w:rPr>
            </w:pPr>
          </w:p>
        </w:tc>
      </w:tr>
      <w:tr>
        <w:trPr>
          <w:trHeight w:val="204"/>
        </w:trPr>
        <w:tc>
          <w:tcPr>
            <w:tcW w:w="820" w:type="dxa"/>
            <w:vAlign w:val="bottom"/>
          </w:tcPr>
          <w:p>
            <w:pPr>
              <w:ind w:left="20"/>
              <w:spacing w:after="0"/>
              <w:rPr>
                <w:sz w:val="20"/>
                <w:szCs w:val="20"/>
                <w:color w:val="auto"/>
              </w:rPr>
            </w:pPr>
            <w:r>
              <w:rPr>
                <w:rFonts w:ascii="Arial" w:cs="Arial" w:eastAsia="Arial" w:hAnsi="Arial"/>
                <w:sz w:val="15"/>
                <w:szCs w:val="15"/>
                <w:color w:val="auto"/>
              </w:rPr>
              <w:t>31.1</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31.2</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32.1</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32.2</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57"/>
        </w:trPr>
        <w:tc>
          <w:tcPr>
            <w:tcW w:w="820" w:type="dxa"/>
            <w:vAlign w:val="bottom"/>
            <w:vMerge w:val="restart"/>
          </w:tcPr>
          <w:p>
            <w:pPr>
              <w:ind w:left="20"/>
              <w:spacing w:after="0"/>
              <w:rPr>
                <w:sz w:val="20"/>
                <w:szCs w:val="20"/>
                <w:color w:val="auto"/>
              </w:rPr>
            </w:pPr>
            <w:r>
              <w:rPr>
                <w:rFonts w:ascii="Arial" w:cs="Arial" w:eastAsia="Arial" w:hAnsi="Arial"/>
                <w:sz w:val="15"/>
                <w:szCs w:val="15"/>
                <w:color w:val="auto"/>
              </w:rPr>
              <w:t>101.INS</w:t>
            </w:r>
          </w:p>
        </w:tc>
        <w:tc>
          <w:tcPr>
            <w:tcW w:w="380" w:type="dxa"/>
            <w:vAlign w:val="bottom"/>
          </w:tcPr>
          <w:p>
            <w:pPr>
              <w:spacing w:after="0"/>
              <w:rPr>
                <w:sz w:val="13"/>
                <w:szCs w:val="13"/>
                <w:color w:val="auto"/>
              </w:rPr>
            </w:pPr>
          </w:p>
        </w:tc>
        <w:tc>
          <w:tcPr>
            <w:tcW w:w="9980" w:type="dxa"/>
            <w:vAlign w:val="bottom"/>
            <w:gridSpan w:val="2"/>
          </w:tcPr>
          <w:p>
            <w:pPr>
              <w:ind w:left="100"/>
              <w:spacing w:after="0" w:line="157" w:lineRule="exact"/>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04"/>
        </w:trPr>
        <w:tc>
          <w:tcPr>
            <w:tcW w:w="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Inline XBRL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101.SCH</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101.CAL</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101.DEF</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101.LAB</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101.PRE</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104</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3" w:name="page54"/>
    <w:bookmarkEnd w:id="53"/>
    <w:p>
      <w:pPr>
        <w:jc w:val="center"/>
        <w:ind w:right="100"/>
        <w:spacing w:after="0"/>
        <w:rPr>
          <w:sz w:val="20"/>
          <w:szCs w:val="20"/>
          <w:color w:val="auto"/>
        </w:rPr>
      </w:pPr>
      <w:r>
        <w:rPr>
          <w:rFonts w:ascii="Arial" w:cs="Arial" w:eastAsia="Arial" w:hAnsi="Arial"/>
          <w:sz w:val="22"/>
          <w:szCs w:val="22"/>
          <w:color w:val="1D2758"/>
        </w:rPr>
        <w:t>Signature</w:t>
      </w:r>
    </w:p>
    <w:p>
      <w:pPr>
        <w:spacing w:after="0" w:line="101" w:lineRule="exact"/>
        <w:rPr>
          <w:sz w:val="20"/>
          <w:szCs w:val="20"/>
          <w:color w:val="auto"/>
        </w:rPr>
      </w:pPr>
    </w:p>
    <w:p>
      <w:pPr>
        <w:ind w:right="100" w:firstLine="619"/>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1004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Mobile Mini Holdings Corp.</w:t>
            </w:r>
          </w:p>
        </w:tc>
      </w:tr>
      <w:tr>
        <w:trPr>
          <w:trHeight w:val="405"/>
        </w:trPr>
        <w:tc>
          <w:tcPr>
            <w:tcW w:w="660" w:type="dxa"/>
            <w:vAlign w:val="bottom"/>
          </w:tcPr>
          <w:p>
            <w:pPr>
              <w:spacing w:after="0"/>
              <w:rPr>
                <w:sz w:val="24"/>
                <w:szCs w:val="24"/>
                <w:color w:val="auto"/>
              </w:rPr>
            </w:pPr>
          </w:p>
        </w:tc>
        <w:tc>
          <w:tcPr>
            <w:tcW w:w="4520" w:type="dxa"/>
            <w:vAlign w:val="bottom"/>
          </w:tcPr>
          <w:p>
            <w:pPr>
              <w:ind w:left="3960"/>
              <w:spacing w:after="0"/>
              <w:rPr>
                <w:sz w:val="20"/>
                <w:szCs w:val="20"/>
                <w:color w:val="auto"/>
              </w:rPr>
            </w:pPr>
            <w:r>
              <w:rPr>
                <w:rFonts w:ascii="Arial" w:cs="Arial" w:eastAsia="Arial" w:hAnsi="Arial"/>
                <w:sz w:val="15"/>
                <w:szCs w:val="15"/>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TIMOTHY D. BOSWELL</w:t>
            </w:r>
          </w:p>
        </w:tc>
      </w:tr>
      <w:tr>
        <w:trPr>
          <w:trHeight w:val="199"/>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20" w:type="dxa"/>
            <w:vAlign w:val="bottom"/>
          </w:tcPr>
          <w:p>
            <w:pPr>
              <w:ind w:left="200"/>
              <w:spacing w:after="0"/>
              <w:rPr>
                <w:sz w:val="20"/>
                <w:szCs w:val="20"/>
                <w:color w:val="auto"/>
              </w:rPr>
            </w:pPr>
            <w:r>
              <w:rPr>
                <w:rFonts w:ascii="Arial" w:cs="Arial" w:eastAsia="Arial" w:hAnsi="Arial"/>
                <w:sz w:val="15"/>
                <w:szCs w:val="15"/>
                <w:color w:val="auto"/>
              </w:rPr>
              <w:t>November 3, 2022</w:t>
            </w:r>
          </w:p>
        </w:tc>
        <w:tc>
          <w:tcPr>
            <w:tcW w:w="5520" w:type="dxa"/>
            <w:vAlign w:val="bottom"/>
          </w:tcPr>
          <w:p>
            <w:pPr>
              <w:ind w:left="20"/>
              <w:spacing w:after="0"/>
              <w:rPr>
                <w:sz w:val="20"/>
                <w:szCs w:val="20"/>
                <w:color w:val="auto"/>
              </w:rPr>
            </w:pPr>
            <w:r>
              <w:rPr>
                <w:rFonts w:ascii="Arial" w:cs="Arial" w:eastAsia="Arial" w:hAnsi="Arial"/>
                <w:sz w:val="15"/>
                <w:szCs w:val="15"/>
                <w:color w:val="auto"/>
              </w:rPr>
              <w:t>Timothy D. Boswell</w:t>
            </w:r>
          </w:p>
        </w:tc>
      </w:tr>
      <w:tr>
        <w:trPr>
          <w:trHeight w:val="157"/>
        </w:trPr>
        <w:tc>
          <w:tcPr>
            <w:tcW w:w="6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520" w:type="dxa"/>
            <w:vAlign w:val="bottom"/>
          </w:tcPr>
          <w:p>
            <w:pPr>
              <w:ind w:left="20"/>
              <w:spacing w:after="0" w:line="157" w:lineRule="exact"/>
              <w:rPr>
                <w:sz w:val="20"/>
                <w:szCs w:val="20"/>
                <w:color w:val="auto"/>
              </w:rPr>
            </w:pPr>
            <w:r>
              <w:rPr>
                <w:rFonts w:ascii="Arial" w:cs="Arial" w:eastAsia="Arial" w:hAnsi="Arial"/>
                <w:sz w:val="15"/>
                <w:szCs w:val="15"/>
                <w:i w:val="1"/>
                <w:iCs w:val="1"/>
                <w:color w:val="auto"/>
              </w:rPr>
              <w:t>President &amp; Chief Financial Officer</w:t>
            </w:r>
          </w:p>
        </w:tc>
      </w:tr>
      <w:tr>
        <w:trPr>
          <w:trHeight w:val="204"/>
        </w:trPr>
        <w:tc>
          <w:tcPr>
            <w:tcW w:w="6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520" w:type="dxa"/>
            <w:vAlign w:val="bottom"/>
          </w:tcPr>
          <w:p>
            <w:pPr>
              <w:ind w:left="20"/>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340"/>
          </w:cols>
          <w:pgMar w:left="320" w:top="105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November 3, 2022</w:t>
      </w:r>
    </w:p>
    <w:p>
      <w:pPr>
        <w:spacing w:after="0" w:line="5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17780</wp:posOffset>
            </wp:positionV>
            <wp:extent cx="28403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November 3, 2022</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President and 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2022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November 3, 2022</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2"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September 30, 2022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November 3, 2022</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40"/>
        <w:spacing w:after="0"/>
        <w:rPr>
          <w:sz w:val="20"/>
          <w:szCs w:val="20"/>
          <w:color w:val="auto"/>
        </w:rPr>
      </w:pPr>
      <w:r>
        <w:rPr>
          <w:rFonts w:ascii="Arial" w:cs="Arial" w:eastAsia="Arial" w:hAnsi="Arial"/>
          <w:sz w:val="15"/>
          <w:szCs w:val="15"/>
          <w:i w:val="1"/>
          <w:iCs w:val="1"/>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1)"/>
      <w:numFmt w:val="lowerLetter"/>
      <w:start w:val="2"/>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bullet"/>
      <w:start w:val="1"/>
    </w:lvl>
  </w:abstractNum>
  <w:abstractNum w:abstractNumId="7">
    <w:nsid w:val="7FDCC233"/>
    <w:multiLevelType w:val="hybridMultilevel"/>
    <w:lvl w:ilvl="0">
      <w:lvlJc w:val="left"/>
      <w:lvlText w:val="•"/>
      <w:numFmt w:val="bullet"/>
      <w:start w:val="1"/>
    </w:lvl>
    <w:lvl w:ilvl="1">
      <w:lvlJc w:val="left"/>
      <w:lvlText w:val="\endash "/>
      <w:numFmt w:val="bullet"/>
      <w:start w:val="1"/>
    </w:lvl>
  </w:abstractNum>
  <w:abstractNum w:abstractNumId="8">
    <w:nsid w:val="1BEFD79F"/>
    <w:multiLevelType w:val="hybridMultilevel"/>
    <w:lvl w:ilvl="0">
      <w:lvlJc w:val="left"/>
      <w:lvlText w:val="•"/>
      <w:numFmt w:val="bullet"/>
      <w:start w:val="1"/>
    </w:lvl>
    <w:lvl w:ilvl="1">
      <w:lvlJc w:val="left"/>
      <w:lvlText w:val="\endash "/>
      <w:numFmt w:val="bullet"/>
      <w:start w:val="1"/>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2022-11-03T12:36:26Z</dcterms:created>
  <dcterms:modified xsi:type="dcterms:W3CDTF">2022-11-03T12:36:26Z</dcterms:modified>
</cp:coreProperties>
</file>